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EF847" w14:textId="20283467" w:rsidR="00E203C2" w:rsidRDefault="00E203C2" w:rsidP="00E203C2">
      <w:r>
        <w:rPr>
          <w:noProof/>
          <w:lang w:eastAsia="en-GB" w:bidi="ar-SA"/>
        </w:rPr>
        <w:drawing>
          <wp:inline distT="0" distB="0" distL="0" distR="0" wp14:anchorId="29E7FE8C" wp14:editId="416F203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017B134" w14:textId="77777777" w:rsidR="00E203C2" w:rsidRDefault="00E203C2" w:rsidP="00E203C2"/>
    <w:p w14:paraId="37F609EF" w14:textId="75498F9A" w:rsidR="00BA24E2" w:rsidRPr="00497B3D" w:rsidRDefault="00497B3D" w:rsidP="00BA24E2">
      <w:pPr>
        <w:rPr>
          <w:b/>
          <w:sz w:val="28"/>
          <w:szCs w:val="28"/>
        </w:rPr>
      </w:pPr>
      <w:r w:rsidRPr="00497B3D">
        <w:rPr>
          <w:b/>
          <w:sz w:val="28"/>
          <w:szCs w:val="28"/>
        </w:rPr>
        <w:t>26</w:t>
      </w:r>
      <w:r w:rsidR="0038779C">
        <w:rPr>
          <w:b/>
          <w:sz w:val="28"/>
          <w:szCs w:val="28"/>
        </w:rPr>
        <w:t xml:space="preserve"> June</w:t>
      </w:r>
      <w:bookmarkStart w:id="0" w:name="_GoBack"/>
      <w:bookmarkEnd w:id="0"/>
      <w:r w:rsidRPr="00497B3D">
        <w:rPr>
          <w:b/>
          <w:sz w:val="28"/>
          <w:szCs w:val="28"/>
        </w:rPr>
        <w:t xml:space="preserve"> 2018</w:t>
      </w:r>
    </w:p>
    <w:p w14:paraId="74E7DAD5" w14:textId="3B0124ED" w:rsidR="00BA24E2" w:rsidRPr="00497B3D" w:rsidRDefault="00497B3D" w:rsidP="00BA24E2">
      <w:pPr>
        <w:rPr>
          <w:b/>
          <w:sz w:val="28"/>
          <w:szCs w:val="28"/>
        </w:rPr>
      </w:pPr>
      <w:r w:rsidRPr="00497B3D">
        <w:rPr>
          <w:b/>
          <w:sz w:val="28"/>
          <w:szCs w:val="28"/>
        </w:rPr>
        <w:t>[51</w:t>
      </w:r>
      <w:r w:rsidR="00CA7F35" w:rsidRPr="00497B3D">
        <w:rPr>
          <w:b/>
          <w:sz w:val="28"/>
          <w:szCs w:val="28"/>
        </w:rPr>
        <w:t>–</w:t>
      </w:r>
      <w:r w:rsidR="00BA24E2" w:rsidRPr="00497B3D">
        <w:rPr>
          <w:b/>
          <w:sz w:val="28"/>
          <w:szCs w:val="28"/>
        </w:rPr>
        <w:t>1</w:t>
      </w:r>
      <w:r w:rsidRPr="00497B3D">
        <w:rPr>
          <w:b/>
          <w:sz w:val="28"/>
          <w:szCs w:val="28"/>
        </w:rPr>
        <w:t>8</w:t>
      </w:r>
      <w:r w:rsidR="00BA24E2" w:rsidRPr="00497B3D">
        <w:rPr>
          <w:b/>
          <w:sz w:val="28"/>
          <w:szCs w:val="28"/>
        </w:rPr>
        <w:t>]</w:t>
      </w:r>
    </w:p>
    <w:p w14:paraId="7DC30261" w14:textId="77777777" w:rsidR="00BA24E2" w:rsidRDefault="00BA24E2" w:rsidP="00E203C2"/>
    <w:p w14:paraId="3D3F3DBF" w14:textId="77777777" w:rsidR="00D056F1" w:rsidRPr="003263B9" w:rsidRDefault="000427B2" w:rsidP="002432EE">
      <w:pPr>
        <w:pStyle w:val="FSTitle"/>
        <w:rPr>
          <w:b/>
        </w:rPr>
      </w:pPr>
      <w:r w:rsidRPr="003263B9">
        <w:rPr>
          <w:b/>
        </w:rPr>
        <w:t>C</w:t>
      </w:r>
      <w:r w:rsidR="00D8470F" w:rsidRPr="003263B9">
        <w:rPr>
          <w:b/>
        </w:rPr>
        <w:t>all</w:t>
      </w:r>
      <w:r w:rsidRPr="003263B9">
        <w:rPr>
          <w:b/>
        </w:rPr>
        <w:t xml:space="preserve"> </w:t>
      </w:r>
      <w:r w:rsidR="00D8470F" w:rsidRPr="003263B9">
        <w:rPr>
          <w:b/>
        </w:rPr>
        <w:t>for</w:t>
      </w:r>
      <w:r w:rsidRPr="003263B9">
        <w:rPr>
          <w:b/>
        </w:rPr>
        <w:t xml:space="preserve"> </w:t>
      </w:r>
      <w:r w:rsidR="00D8470F" w:rsidRPr="003263B9">
        <w:rPr>
          <w:b/>
        </w:rPr>
        <w:t>submissions</w:t>
      </w:r>
      <w:r w:rsidRPr="003263B9">
        <w:rPr>
          <w:b/>
        </w:rPr>
        <w:t xml:space="preserve"> – </w:t>
      </w:r>
      <w:r w:rsidR="00D056F1" w:rsidRPr="003263B9">
        <w:rPr>
          <w:b/>
        </w:rPr>
        <w:t>A</w:t>
      </w:r>
      <w:r w:rsidR="00A91DF1" w:rsidRPr="003263B9">
        <w:rPr>
          <w:b/>
        </w:rPr>
        <w:t>pplication</w:t>
      </w:r>
      <w:r w:rsidR="00D056F1" w:rsidRPr="003263B9">
        <w:rPr>
          <w:b/>
        </w:rPr>
        <w:t xml:space="preserve"> A</w:t>
      </w:r>
      <w:r w:rsidR="003263B9" w:rsidRPr="003263B9">
        <w:rPr>
          <w:b/>
        </w:rPr>
        <w:t>1137</w:t>
      </w:r>
    </w:p>
    <w:p w14:paraId="3E30A1A0" w14:textId="77777777" w:rsidR="00E203C2" w:rsidRPr="003263B9" w:rsidRDefault="00E203C2" w:rsidP="00E203C2"/>
    <w:p w14:paraId="6AB55DC6" w14:textId="77777777" w:rsidR="00D056F1" w:rsidRPr="003263B9" w:rsidRDefault="003263B9" w:rsidP="002432EE">
      <w:pPr>
        <w:pStyle w:val="FSTitle"/>
      </w:pPr>
      <w:r w:rsidRPr="003263B9">
        <w:t>Polysorbate 20 as a Food Additive</w:t>
      </w:r>
    </w:p>
    <w:p w14:paraId="4ADB6F4A" w14:textId="77777777" w:rsidR="00E203C2" w:rsidRPr="00E81F6E" w:rsidRDefault="00E203C2" w:rsidP="00E203C2">
      <w:pPr>
        <w:pBdr>
          <w:bottom w:val="single" w:sz="12" w:space="1" w:color="auto"/>
        </w:pBdr>
        <w:spacing w:line="280" w:lineRule="exact"/>
        <w:rPr>
          <w:rFonts w:cs="Arial"/>
          <w:bCs/>
        </w:rPr>
      </w:pPr>
    </w:p>
    <w:p w14:paraId="5F49351C" w14:textId="77777777" w:rsidR="00E203C2" w:rsidRPr="00E81F6E" w:rsidRDefault="00E203C2" w:rsidP="00E203C2"/>
    <w:p w14:paraId="16875B1A" w14:textId="61DB7152" w:rsidR="00E063C6" w:rsidRPr="003263B9" w:rsidRDefault="00E063C6" w:rsidP="00E203C2">
      <w:pPr>
        <w:rPr>
          <w:sz w:val="20"/>
          <w:szCs w:val="20"/>
        </w:rPr>
      </w:pPr>
      <w:r w:rsidRPr="003263B9">
        <w:rPr>
          <w:sz w:val="20"/>
          <w:szCs w:val="20"/>
        </w:rPr>
        <w:t xml:space="preserve">FSANZ </w:t>
      </w:r>
      <w:r w:rsidR="00E11E1E">
        <w:rPr>
          <w:sz w:val="20"/>
          <w:szCs w:val="20"/>
        </w:rPr>
        <w:t>has assessed an a</w:t>
      </w:r>
      <w:r w:rsidR="00351B07" w:rsidRPr="003263B9">
        <w:rPr>
          <w:sz w:val="20"/>
          <w:szCs w:val="20"/>
        </w:rPr>
        <w:t xml:space="preserve">pplication made by </w:t>
      </w:r>
      <w:r w:rsidR="003263B9" w:rsidRPr="003263B9">
        <w:rPr>
          <w:sz w:val="20"/>
          <w:szCs w:val="20"/>
        </w:rPr>
        <w:t>Earlee Products Pty Ltd</w:t>
      </w:r>
      <w:r w:rsidR="00351B07" w:rsidRPr="003263B9">
        <w:rPr>
          <w:sz w:val="20"/>
          <w:szCs w:val="20"/>
        </w:rPr>
        <w:t xml:space="preserve"> </w:t>
      </w:r>
      <w:r w:rsidR="007C174F" w:rsidRPr="003263B9">
        <w:rPr>
          <w:sz w:val="20"/>
          <w:szCs w:val="20"/>
        </w:rPr>
        <w:t>to</w:t>
      </w:r>
      <w:r w:rsidR="003263B9" w:rsidRPr="003263B9">
        <w:rPr>
          <w:sz w:val="20"/>
          <w:szCs w:val="20"/>
        </w:rPr>
        <w:t xml:space="preserve"> permit the use of polysorbate 20 as an emulsifier</w:t>
      </w:r>
      <w:r w:rsidR="00975FE6">
        <w:rPr>
          <w:sz w:val="20"/>
          <w:szCs w:val="20"/>
        </w:rPr>
        <w:t xml:space="preserve"> food additive</w:t>
      </w:r>
      <w:r w:rsidR="003263B9" w:rsidRPr="003263B9">
        <w:rPr>
          <w:sz w:val="20"/>
          <w:szCs w:val="20"/>
        </w:rPr>
        <w:t xml:space="preserve"> </w:t>
      </w:r>
      <w:r w:rsidR="00284465">
        <w:rPr>
          <w:sz w:val="20"/>
          <w:szCs w:val="20"/>
        </w:rPr>
        <w:t xml:space="preserve">for </w:t>
      </w:r>
      <w:r w:rsidR="00284465" w:rsidRPr="00284465">
        <w:rPr>
          <w:sz w:val="20"/>
          <w:szCs w:val="20"/>
          <w:lang w:val="en-AU"/>
        </w:rPr>
        <w:t xml:space="preserve">processed meat </w:t>
      </w:r>
      <w:r w:rsidR="00436463">
        <w:rPr>
          <w:sz w:val="20"/>
          <w:szCs w:val="20"/>
          <w:lang w:val="en-AU"/>
        </w:rPr>
        <w:t xml:space="preserve">and meat </w:t>
      </w:r>
      <w:r w:rsidR="00284465" w:rsidRPr="00284465">
        <w:rPr>
          <w:sz w:val="20"/>
          <w:szCs w:val="20"/>
          <w:lang w:val="en-AU"/>
        </w:rPr>
        <w:t>products, and processed fish and fish products</w:t>
      </w:r>
      <w:r w:rsidR="008C1E52">
        <w:rPr>
          <w:sz w:val="20"/>
          <w:szCs w:val="20"/>
          <w:lang w:val="en-AU"/>
        </w:rPr>
        <w:t>,</w:t>
      </w:r>
      <w:r w:rsidR="00284465" w:rsidRPr="00284465">
        <w:rPr>
          <w:sz w:val="20"/>
          <w:szCs w:val="20"/>
        </w:rPr>
        <w:t xml:space="preserve"> </w:t>
      </w:r>
      <w:r w:rsidR="00413CA8" w:rsidRPr="003263B9">
        <w:rPr>
          <w:sz w:val="20"/>
          <w:szCs w:val="20"/>
        </w:rPr>
        <w:t xml:space="preserve">and has prepared a draft </w:t>
      </w:r>
      <w:r w:rsidR="00D8470F" w:rsidRPr="003263B9">
        <w:rPr>
          <w:sz w:val="20"/>
          <w:szCs w:val="20"/>
        </w:rPr>
        <w:t>food regulatory measure</w:t>
      </w:r>
      <w:r w:rsidR="00351B07" w:rsidRPr="003263B9">
        <w:rPr>
          <w:sz w:val="20"/>
          <w:szCs w:val="20"/>
        </w:rPr>
        <w:t xml:space="preserve">. </w:t>
      </w:r>
      <w:r w:rsidR="00D22F3C" w:rsidRPr="003263B9">
        <w:rPr>
          <w:sz w:val="20"/>
          <w:szCs w:val="20"/>
        </w:rPr>
        <w:t xml:space="preserve">Pursuant to section 31 of the </w:t>
      </w:r>
      <w:r w:rsidR="00D22F3C" w:rsidRPr="003263B9">
        <w:rPr>
          <w:i/>
          <w:sz w:val="20"/>
          <w:szCs w:val="20"/>
        </w:rPr>
        <w:t>Food Standard</w:t>
      </w:r>
      <w:r w:rsidR="00E203C2" w:rsidRPr="003263B9">
        <w:rPr>
          <w:i/>
          <w:sz w:val="20"/>
          <w:szCs w:val="20"/>
        </w:rPr>
        <w:t>s Australia New Zealand Act 1991</w:t>
      </w:r>
      <w:r w:rsidR="00D22F3C" w:rsidRPr="003263B9">
        <w:rPr>
          <w:i/>
          <w:sz w:val="20"/>
          <w:szCs w:val="20"/>
        </w:rPr>
        <w:t xml:space="preserve"> </w:t>
      </w:r>
      <w:r w:rsidR="00E203C2" w:rsidRPr="003263B9">
        <w:rPr>
          <w:sz w:val="20"/>
          <w:szCs w:val="20"/>
        </w:rPr>
        <w:t>(</w:t>
      </w:r>
      <w:r w:rsidR="00D22F3C" w:rsidRPr="003263B9">
        <w:rPr>
          <w:sz w:val="20"/>
          <w:szCs w:val="20"/>
        </w:rPr>
        <w:t>FSANZ Act), FSANZ now c</w:t>
      </w:r>
      <w:r w:rsidR="00E203C2" w:rsidRPr="003263B9">
        <w:rPr>
          <w:sz w:val="20"/>
          <w:szCs w:val="20"/>
        </w:rPr>
        <w:t xml:space="preserve">alls for submissions to assist consideration of the </w:t>
      </w:r>
      <w:r w:rsidR="00413CA8" w:rsidRPr="003263B9">
        <w:rPr>
          <w:sz w:val="20"/>
          <w:szCs w:val="20"/>
        </w:rPr>
        <w:t xml:space="preserve">draft </w:t>
      </w:r>
      <w:r w:rsidR="00D8470F" w:rsidRPr="003263B9">
        <w:rPr>
          <w:sz w:val="20"/>
          <w:szCs w:val="20"/>
        </w:rPr>
        <w:t>food regulatory measure</w:t>
      </w:r>
      <w:r w:rsidR="00D22F3C" w:rsidRPr="003263B9">
        <w:rPr>
          <w:sz w:val="20"/>
          <w:szCs w:val="20"/>
        </w:rPr>
        <w:t>.</w:t>
      </w:r>
    </w:p>
    <w:p w14:paraId="61BEA572" w14:textId="77777777" w:rsidR="00413CA8" w:rsidRPr="007C174F" w:rsidRDefault="00413CA8" w:rsidP="00E203C2">
      <w:pPr>
        <w:rPr>
          <w:sz w:val="20"/>
          <w:szCs w:val="20"/>
        </w:rPr>
      </w:pPr>
    </w:p>
    <w:p w14:paraId="69DDFEAC"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047FFAC8" w14:textId="77777777" w:rsidR="00D81D38" w:rsidRPr="00276026" w:rsidRDefault="00D81D38" w:rsidP="00276026">
      <w:pPr>
        <w:rPr>
          <w:sz w:val="20"/>
          <w:szCs w:val="20"/>
        </w:rPr>
      </w:pPr>
    </w:p>
    <w:p w14:paraId="3CC48C8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B4F9731" w14:textId="77777777" w:rsidR="00876515" w:rsidRPr="00276026" w:rsidRDefault="00876515" w:rsidP="00276026">
      <w:pPr>
        <w:rPr>
          <w:color w:val="000000"/>
          <w:sz w:val="20"/>
          <w:szCs w:val="20"/>
          <w:lang w:val="en-AU"/>
        </w:rPr>
      </w:pPr>
    </w:p>
    <w:p w14:paraId="17681A94"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0FD06933" w14:textId="77777777" w:rsidR="00E203C2" w:rsidRPr="007C174F" w:rsidRDefault="00E203C2" w:rsidP="00E203C2">
      <w:pPr>
        <w:rPr>
          <w:color w:val="000000"/>
          <w:sz w:val="20"/>
          <w:szCs w:val="20"/>
          <w:lang w:val="en-AU"/>
        </w:rPr>
      </w:pPr>
    </w:p>
    <w:p w14:paraId="49607D4D"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5B3E085" w14:textId="77777777" w:rsidR="00E203C2" w:rsidRPr="007C174F" w:rsidRDefault="00E203C2" w:rsidP="00E203C2">
      <w:pPr>
        <w:rPr>
          <w:color w:val="000000"/>
          <w:sz w:val="20"/>
          <w:szCs w:val="20"/>
          <w:lang w:val="en-AU"/>
        </w:rPr>
      </w:pPr>
    </w:p>
    <w:p w14:paraId="30B9173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7BCB56E" w14:textId="77777777" w:rsidR="00E203C2" w:rsidRPr="00D676CF" w:rsidRDefault="00E203C2" w:rsidP="00E203C2">
      <w:pPr>
        <w:rPr>
          <w:color w:val="000000"/>
          <w:sz w:val="20"/>
          <w:lang w:val="en-AU"/>
        </w:rPr>
      </w:pPr>
    </w:p>
    <w:p w14:paraId="2D8920FE" w14:textId="364BBD47" w:rsidR="00E063C6" w:rsidRPr="00497B3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02D9D" w:rsidRPr="00497B3D">
        <w:rPr>
          <w:rFonts w:cs="Arial"/>
          <w:b/>
          <w:bCs/>
          <w:sz w:val="24"/>
        </w:rPr>
        <w:t>24</w:t>
      </w:r>
      <w:r w:rsidR="00901183" w:rsidRPr="00497B3D">
        <w:rPr>
          <w:rFonts w:cs="Arial"/>
          <w:b/>
          <w:bCs/>
          <w:sz w:val="24"/>
        </w:rPr>
        <w:t xml:space="preserve"> July 2018</w:t>
      </w:r>
    </w:p>
    <w:p w14:paraId="00C3768F" w14:textId="77777777" w:rsidR="00E203C2" w:rsidRPr="007C174F" w:rsidRDefault="00E203C2" w:rsidP="00E203C2">
      <w:pPr>
        <w:rPr>
          <w:sz w:val="20"/>
          <w:szCs w:val="20"/>
          <w:lang w:val="en-AU"/>
        </w:rPr>
      </w:pPr>
    </w:p>
    <w:p w14:paraId="65A80DF6"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B2C712E" w14:textId="77777777" w:rsidR="00E203C2" w:rsidRPr="007C174F" w:rsidRDefault="00E203C2" w:rsidP="00E203C2">
      <w:pPr>
        <w:rPr>
          <w:sz w:val="20"/>
          <w:szCs w:val="20"/>
          <w:lang w:val="en-AU"/>
        </w:rPr>
      </w:pPr>
    </w:p>
    <w:p w14:paraId="72FEDCB5"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665F448" w14:textId="77777777" w:rsidR="00E203C2" w:rsidRPr="003A7725" w:rsidRDefault="00E203C2" w:rsidP="003A7725">
      <w:pPr>
        <w:rPr>
          <w:sz w:val="20"/>
          <w:lang w:val="en-AU"/>
        </w:rPr>
      </w:pPr>
    </w:p>
    <w:p w14:paraId="0059309F"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8AAFBA8" w14:textId="77777777" w:rsidR="00E203C2" w:rsidRPr="007C174F" w:rsidRDefault="00E203C2" w:rsidP="00E203C2">
      <w:pPr>
        <w:rPr>
          <w:sz w:val="20"/>
          <w:szCs w:val="20"/>
          <w:lang w:val="en-AU"/>
        </w:rPr>
      </w:pPr>
    </w:p>
    <w:p w14:paraId="52854934"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E562AA1"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AAE3B0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791C5662"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BE0B5CB" w14:textId="15C1BD26"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6AB0E01"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5B450D5C"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31E69D4" w14:textId="77777777" w:rsidR="00562917" w:rsidRPr="00AE766D" w:rsidRDefault="00562917" w:rsidP="00051ED9">
      <w:pPr>
        <w:rPr>
          <w:rFonts w:cs="Arial"/>
        </w:rPr>
      </w:pPr>
    </w:p>
    <w:p w14:paraId="3F163A3C" w14:textId="15C20A4A" w:rsidR="00EF42C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16642368" w:history="1">
        <w:r w:rsidR="00EF42C1" w:rsidRPr="00E64488">
          <w:rPr>
            <w:rStyle w:val="Hyperlink"/>
            <w:noProof/>
          </w:rPr>
          <w:t>Executive summary</w:t>
        </w:r>
        <w:r w:rsidR="00EF42C1">
          <w:rPr>
            <w:noProof/>
            <w:webHidden/>
          </w:rPr>
          <w:tab/>
        </w:r>
        <w:r w:rsidR="00EF42C1">
          <w:rPr>
            <w:noProof/>
            <w:webHidden/>
          </w:rPr>
          <w:fldChar w:fldCharType="begin"/>
        </w:r>
        <w:r w:rsidR="00EF42C1">
          <w:rPr>
            <w:noProof/>
            <w:webHidden/>
          </w:rPr>
          <w:instrText xml:space="preserve"> PAGEREF _Toc516642368 \h </w:instrText>
        </w:r>
        <w:r w:rsidR="00EF42C1">
          <w:rPr>
            <w:noProof/>
            <w:webHidden/>
          </w:rPr>
        </w:r>
        <w:r w:rsidR="00EF42C1">
          <w:rPr>
            <w:noProof/>
            <w:webHidden/>
          </w:rPr>
          <w:fldChar w:fldCharType="separate"/>
        </w:r>
        <w:r w:rsidR="00186057">
          <w:rPr>
            <w:noProof/>
            <w:webHidden/>
          </w:rPr>
          <w:t>2</w:t>
        </w:r>
        <w:r w:rsidR="00EF42C1">
          <w:rPr>
            <w:noProof/>
            <w:webHidden/>
          </w:rPr>
          <w:fldChar w:fldCharType="end"/>
        </w:r>
      </w:hyperlink>
    </w:p>
    <w:p w14:paraId="52C4E12B" w14:textId="4B25ACAD" w:rsidR="00EF42C1" w:rsidRDefault="00DE5E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642369" w:history="1">
        <w:r w:rsidR="00EF42C1" w:rsidRPr="00E64488">
          <w:rPr>
            <w:rStyle w:val="Hyperlink"/>
            <w:noProof/>
          </w:rPr>
          <w:t>1</w:t>
        </w:r>
        <w:r w:rsidR="00EF42C1">
          <w:rPr>
            <w:rFonts w:eastAsiaTheme="minorEastAsia" w:cstheme="minorBidi"/>
            <w:b w:val="0"/>
            <w:bCs w:val="0"/>
            <w:caps w:val="0"/>
            <w:noProof/>
            <w:sz w:val="22"/>
            <w:szCs w:val="22"/>
            <w:lang w:eastAsia="en-GB" w:bidi="ar-SA"/>
          </w:rPr>
          <w:tab/>
        </w:r>
        <w:r w:rsidR="00EF42C1" w:rsidRPr="00E64488">
          <w:rPr>
            <w:rStyle w:val="Hyperlink"/>
            <w:noProof/>
          </w:rPr>
          <w:t>Introduction</w:t>
        </w:r>
        <w:r w:rsidR="00EF42C1">
          <w:rPr>
            <w:noProof/>
            <w:webHidden/>
          </w:rPr>
          <w:tab/>
        </w:r>
        <w:r w:rsidR="00EF42C1">
          <w:rPr>
            <w:noProof/>
            <w:webHidden/>
          </w:rPr>
          <w:fldChar w:fldCharType="begin"/>
        </w:r>
        <w:r w:rsidR="00EF42C1">
          <w:rPr>
            <w:noProof/>
            <w:webHidden/>
          </w:rPr>
          <w:instrText xml:space="preserve"> PAGEREF _Toc516642369 \h </w:instrText>
        </w:r>
        <w:r w:rsidR="00EF42C1">
          <w:rPr>
            <w:noProof/>
            <w:webHidden/>
          </w:rPr>
        </w:r>
        <w:r w:rsidR="00EF42C1">
          <w:rPr>
            <w:noProof/>
            <w:webHidden/>
          </w:rPr>
          <w:fldChar w:fldCharType="separate"/>
        </w:r>
        <w:r w:rsidR="00186057">
          <w:rPr>
            <w:noProof/>
            <w:webHidden/>
          </w:rPr>
          <w:t>3</w:t>
        </w:r>
        <w:r w:rsidR="00EF42C1">
          <w:rPr>
            <w:noProof/>
            <w:webHidden/>
          </w:rPr>
          <w:fldChar w:fldCharType="end"/>
        </w:r>
      </w:hyperlink>
    </w:p>
    <w:p w14:paraId="65FF20E2" w14:textId="5CC6FBE7"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0" w:history="1">
        <w:r w:rsidR="00EF42C1" w:rsidRPr="00E64488">
          <w:rPr>
            <w:rStyle w:val="Hyperlink"/>
            <w:noProof/>
          </w:rPr>
          <w:t>1.1</w:t>
        </w:r>
        <w:r w:rsidR="00EF42C1">
          <w:rPr>
            <w:rFonts w:eastAsiaTheme="minorEastAsia" w:cstheme="minorBidi"/>
            <w:smallCaps w:val="0"/>
            <w:noProof/>
            <w:sz w:val="22"/>
            <w:szCs w:val="22"/>
            <w:lang w:eastAsia="en-GB" w:bidi="ar-SA"/>
          </w:rPr>
          <w:tab/>
        </w:r>
        <w:r w:rsidR="00EF42C1" w:rsidRPr="00E64488">
          <w:rPr>
            <w:rStyle w:val="Hyperlink"/>
            <w:noProof/>
          </w:rPr>
          <w:t>The Applicant</w:t>
        </w:r>
        <w:r w:rsidR="00EF42C1">
          <w:rPr>
            <w:noProof/>
            <w:webHidden/>
          </w:rPr>
          <w:tab/>
        </w:r>
        <w:r w:rsidR="00EF42C1">
          <w:rPr>
            <w:noProof/>
            <w:webHidden/>
          </w:rPr>
          <w:fldChar w:fldCharType="begin"/>
        </w:r>
        <w:r w:rsidR="00EF42C1">
          <w:rPr>
            <w:noProof/>
            <w:webHidden/>
          </w:rPr>
          <w:instrText xml:space="preserve"> PAGEREF _Toc516642370 \h </w:instrText>
        </w:r>
        <w:r w:rsidR="00EF42C1">
          <w:rPr>
            <w:noProof/>
            <w:webHidden/>
          </w:rPr>
        </w:r>
        <w:r w:rsidR="00EF42C1">
          <w:rPr>
            <w:noProof/>
            <w:webHidden/>
          </w:rPr>
          <w:fldChar w:fldCharType="separate"/>
        </w:r>
        <w:r w:rsidR="00186057">
          <w:rPr>
            <w:noProof/>
            <w:webHidden/>
          </w:rPr>
          <w:t>3</w:t>
        </w:r>
        <w:r w:rsidR="00EF42C1">
          <w:rPr>
            <w:noProof/>
            <w:webHidden/>
          </w:rPr>
          <w:fldChar w:fldCharType="end"/>
        </w:r>
      </w:hyperlink>
    </w:p>
    <w:p w14:paraId="079D7E62" w14:textId="0E9E8F7E"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1" w:history="1">
        <w:r w:rsidR="00EF42C1" w:rsidRPr="00E64488">
          <w:rPr>
            <w:rStyle w:val="Hyperlink"/>
            <w:noProof/>
          </w:rPr>
          <w:t>1.2</w:t>
        </w:r>
        <w:r w:rsidR="00EF42C1">
          <w:rPr>
            <w:rFonts w:eastAsiaTheme="minorEastAsia" w:cstheme="minorBidi"/>
            <w:smallCaps w:val="0"/>
            <w:noProof/>
            <w:sz w:val="22"/>
            <w:szCs w:val="22"/>
            <w:lang w:eastAsia="en-GB" w:bidi="ar-SA"/>
          </w:rPr>
          <w:tab/>
        </w:r>
        <w:r w:rsidR="00EF42C1" w:rsidRPr="00E64488">
          <w:rPr>
            <w:rStyle w:val="Hyperlink"/>
            <w:noProof/>
          </w:rPr>
          <w:t>The Application</w:t>
        </w:r>
        <w:r w:rsidR="00EF42C1">
          <w:rPr>
            <w:noProof/>
            <w:webHidden/>
          </w:rPr>
          <w:tab/>
        </w:r>
        <w:r w:rsidR="00EF42C1">
          <w:rPr>
            <w:noProof/>
            <w:webHidden/>
          </w:rPr>
          <w:fldChar w:fldCharType="begin"/>
        </w:r>
        <w:r w:rsidR="00EF42C1">
          <w:rPr>
            <w:noProof/>
            <w:webHidden/>
          </w:rPr>
          <w:instrText xml:space="preserve"> PAGEREF _Toc516642371 \h </w:instrText>
        </w:r>
        <w:r w:rsidR="00EF42C1">
          <w:rPr>
            <w:noProof/>
            <w:webHidden/>
          </w:rPr>
        </w:r>
        <w:r w:rsidR="00EF42C1">
          <w:rPr>
            <w:noProof/>
            <w:webHidden/>
          </w:rPr>
          <w:fldChar w:fldCharType="separate"/>
        </w:r>
        <w:r w:rsidR="00186057">
          <w:rPr>
            <w:noProof/>
            <w:webHidden/>
          </w:rPr>
          <w:t>3</w:t>
        </w:r>
        <w:r w:rsidR="00EF42C1">
          <w:rPr>
            <w:noProof/>
            <w:webHidden/>
          </w:rPr>
          <w:fldChar w:fldCharType="end"/>
        </w:r>
      </w:hyperlink>
    </w:p>
    <w:p w14:paraId="400627E1" w14:textId="61E403BB"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2" w:history="1">
        <w:r w:rsidR="00EF42C1" w:rsidRPr="00E64488">
          <w:rPr>
            <w:rStyle w:val="Hyperlink"/>
            <w:noProof/>
          </w:rPr>
          <w:t>1.3</w:t>
        </w:r>
        <w:r w:rsidR="00EF42C1">
          <w:rPr>
            <w:rFonts w:eastAsiaTheme="minorEastAsia" w:cstheme="minorBidi"/>
            <w:smallCaps w:val="0"/>
            <w:noProof/>
            <w:sz w:val="22"/>
            <w:szCs w:val="22"/>
            <w:lang w:eastAsia="en-GB" w:bidi="ar-SA"/>
          </w:rPr>
          <w:tab/>
        </w:r>
        <w:r w:rsidR="00EF42C1" w:rsidRPr="00E64488">
          <w:rPr>
            <w:rStyle w:val="Hyperlink"/>
            <w:noProof/>
          </w:rPr>
          <w:t>The current standards</w:t>
        </w:r>
        <w:r w:rsidR="00EF42C1">
          <w:rPr>
            <w:noProof/>
            <w:webHidden/>
          </w:rPr>
          <w:tab/>
        </w:r>
        <w:r w:rsidR="00EF42C1">
          <w:rPr>
            <w:noProof/>
            <w:webHidden/>
          </w:rPr>
          <w:fldChar w:fldCharType="begin"/>
        </w:r>
        <w:r w:rsidR="00EF42C1">
          <w:rPr>
            <w:noProof/>
            <w:webHidden/>
          </w:rPr>
          <w:instrText xml:space="preserve"> PAGEREF _Toc516642372 \h </w:instrText>
        </w:r>
        <w:r w:rsidR="00EF42C1">
          <w:rPr>
            <w:noProof/>
            <w:webHidden/>
          </w:rPr>
        </w:r>
        <w:r w:rsidR="00EF42C1">
          <w:rPr>
            <w:noProof/>
            <w:webHidden/>
          </w:rPr>
          <w:fldChar w:fldCharType="separate"/>
        </w:r>
        <w:r w:rsidR="00186057">
          <w:rPr>
            <w:noProof/>
            <w:webHidden/>
          </w:rPr>
          <w:t>3</w:t>
        </w:r>
        <w:r w:rsidR="00EF42C1">
          <w:rPr>
            <w:noProof/>
            <w:webHidden/>
          </w:rPr>
          <w:fldChar w:fldCharType="end"/>
        </w:r>
      </w:hyperlink>
    </w:p>
    <w:p w14:paraId="4734B802" w14:textId="7988D987"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73" w:history="1">
        <w:r w:rsidR="00EF42C1" w:rsidRPr="00E64488">
          <w:rPr>
            <w:rStyle w:val="Hyperlink"/>
            <w:noProof/>
          </w:rPr>
          <w:t>1.3.1</w:t>
        </w:r>
        <w:r w:rsidR="00EF42C1">
          <w:rPr>
            <w:rFonts w:eastAsiaTheme="minorEastAsia" w:cstheme="minorBidi"/>
            <w:i w:val="0"/>
            <w:iCs w:val="0"/>
            <w:noProof/>
            <w:sz w:val="22"/>
            <w:szCs w:val="22"/>
            <w:lang w:eastAsia="en-GB" w:bidi="ar-SA"/>
          </w:rPr>
          <w:tab/>
        </w:r>
        <w:r w:rsidR="00EF42C1" w:rsidRPr="00E64488">
          <w:rPr>
            <w:rStyle w:val="Hyperlink"/>
            <w:noProof/>
          </w:rPr>
          <w:t>International standards</w:t>
        </w:r>
        <w:r w:rsidR="00EF42C1">
          <w:rPr>
            <w:noProof/>
            <w:webHidden/>
          </w:rPr>
          <w:tab/>
        </w:r>
        <w:r w:rsidR="00EF42C1">
          <w:rPr>
            <w:noProof/>
            <w:webHidden/>
          </w:rPr>
          <w:fldChar w:fldCharType="begin"/>
        </w:r>
        <w:r w:rsidR="00EF42C1">
          <w:rPr>
            <w:noProof/>
            <w:webHidden/>
          </w:rPr>
          <w:instrText xml:space="preserve"> PAGEREF _Toc516642373 \h </w:instrText>
        </w:r>
        <w:r w:rsidR="00EF42C1">
          <w:rPr>
            <w:noProof/>
            <w:webHidden/>
          </w:rPr>
        </w:r>
        <w:r w:rsidR="00EF42C1">
          <w:rPr>
            <w:noProof/>
            <w:webHidden/>
          </w:rPr>
          <w:fldChar w:fldCharType="separate"/>
        </w:r>
        <w:r w:rsidR="00186057">
          <w:rPr>
            <w:noProof/>
            <w:webHidden/>
          </w:rPr>
          <w:t>4</w:t>
        </w:r>
        <w:r w:rsidR="00EF42C1">
          <w:rPr>
            <w:noProof/>
            <w:webHidden/>
          </w:rPr>
          <w:fldChar w:fldCharType="end"/>
        </w:r>
      </w:hyperlink>
    </w:p>
    <w:p w14:paraId="4C83F353" w14:textId="421EC0C9"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4" w:history="1">
        <w:r w:rsidR="00EF42C1" w:rsidRPr="00E64488">
          <w:rPr>
            <w:rStyle w:val="Hyperlink"/>
            <w:noProof/>
            <w:u w:color="FFFF00"/>
          </w:rPr>
          <w:t>1.4</w:t>
        </w:r>
        <w:r w:rsidR="00EF42C1">
          <w:rPr>
            <w:rFonts w:eastAsiaTheme="minorEastAsia" w:cstheme="minorBidi"/>
            <w:smallCaps w:val="0"/>
            <w:noProof/>
            <w:sz w:val="22"/>
            <w:szCs w:val="22"/>
            <w:lang w:eastAsia="en-GB" w:bidi="ar-SA"/>
          </w:rPr>
          <w:tab/>
        </w:r>
        <w:r w:rsidR="00EF42C1" w:rsidRPr="00E64488">
          <w:rPr>
            <w:rStyle w:val="Hyperlink"/>
            <w:noProof/>
            <w:u w:color="FFFF00"/>
          </w:rPr>
          <w:t>Reasons for accepting Application</w:t>
        </w:r>
        <w:r w:rsidR="00EF42C1">
          <w:rPr>
            <w:noProof/>
            <w:webHidden/>
          </w:rPr>
          <w:tab/>
        </w:r>
        <w:r w:rsidR="00EF42C1">
          <w:rPr>
            <w:noProof/>
            <w:webHidden/>
          </w:rPr>
          <w:fldChar w:fldCharType="begin"/>
        </w:r>
        <w:r w:rsidR="00EF42C1">
          <w:rPr>
            <w:noProof/>
            <w:webHidden/>
          </w:rPr>
          <w:instrText xml:space="preserve"> PAGEREF _Toc516642374 \h </w:instrText>
        </w:r>
        <w:r w:rsidR="00EF42C1">
          <w:rPr>
            <w:noProof/>
            <w:webHidden/>
          </w:rPr>
        </w:r>
        <w:r w:rsidR="00EF42C1">
          <w:rPr>
            <w:noProof/>
            <w:webHidden/>
          </w:rPr>
          <w:fldChar w:fldCharType="separate"/>
        </w:r>
        <w:r w:rsidR="00186057">
          <w:rPr>
            <w:noProof/>
            <w:webHidden/>
          </w:rPr>
          <w:t>5</w:t>
        </w:r>
        <w:r w:rsidR="00EF42C1">
          <w:rPr>
            <w:noProof/>
            <w:webHidden/>
          </w:rPr>
          <w:fldChar w:fldCharType="end"/>
        </w:r>
      </w:hyperlink>
    </w:p>
    <w:p w14:paraId="7D1AA5BE" w14:textId="3A7B6AB4"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5" w:history="1">
        <w:r w:rsidR="00EF42C1" w:rsidRPr="00E64488">
          <w:rPr>
            <w:rStyle w:val="Hyperlink"/>
            <w:noProof/>
          </w:rPr>
          <w:t>1.5</w:t>
        </w:r>
        <w:r w:rsidR="00EF42C1">
          <w:rPr>
            <w:rFonts w:eastAsiaTheme="minorEastAsia" w:cstheme="minorBidi"/>
            <w:smallCaps w:val="0"/>
            <w:noProof/>
            <w:sz w:val="22"/>
            <w:szCs w:val="22"/>
            <w:lang w:eastAsia="en-GB" w:bidi="ar-SA"/>
          </w:rPr>
          <w:tab/>
        </w:r>
        <w:r w:rsidR="00EF42C1" w:rsidRPr="00E64488">
          <w:rPr>
            <w:rStyle w:val="Hyperlink"/>
            <w:noProof/>
          </w:rPr>
          <w:t>Procedure for assessment</w:t>
        </w:r>
        <w:r w:rsidR="00EF42C1">
          <w:rPr>
            <w:noProof/>
            <w:webHidden/>
          </w:rPr>
          <w:tab/>
        </w:r>
        <w:r w:rsidR="00EF42C1">
          <w:rPr>
            <w:noProof/>
            <w:webHidden/>
          </w:rPr>
          <w:fldChar w:fldCharType="begin"/>
        </w:r>
        <w:r w:rsidR="00EF42C1">
          <w:rPr>
            <w:noProof/>
            <w:webHidden/>
          </w:rPr>
          <w:instrText xml:space="preserve"> PAGEREF _Toc516642375 \h </w:instrText>
        </w:r>
        <w:r w:rsidR="00EF42C1">
          <w:rPr>
            <w:noProof/>
            <w:webHidden/>
          </w:rPr>
        </w:r>
        <w:r w:rsidR="00EF42C1">
          <w:rPr>
            <w:noProof/>
            <w:webHidden/>
          </w:rPr>
          <w:fldChar w:fldCharType="separate"/>
        </w:r>
        <w:r w:rsidR="00186057">
          <w:rPr>
            <w:noProof/>
            <w:webHidden/>
          </w:rPr>
          <w:t>5</w:t>
        </w:r>
        <w:r w:rsidR="00EF42C1">
          <w:rPr>
            <w:noProof/>
            <w:webHidden/>
          </w:rPr>
          <w:fldChar w:fldCharType="end"/>
        </w:r>
      </w:hyperlink>
    </w:p>
    <w:p w14:paraId="02556E20" w14:textId="7FE22BC8" w:rsidR="00EF42C1" w:rsidRDefault="00DE5E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642376" w:history="1">
        <w:r w:rsidR="00EF42C1" w:rsidRPr="00E64488">
          <w:rPr>
            <w:rStyle w:val="Hyperlink"/>
            <w:noProof/>
          </w:rPr>
          <w:t>2</w:t>
        </w:r>
        <w:r w:rsidR="00EF42C1">
          <w:rPr>
            <w:rFonts w:eastAsiaTheme="minorEastAsia" w:cstheme="minorBidi"/>
            <w:b w:val="0"/>
            <w:bCs w:val="0"/>
            <w:caps w:val="0"/>
            <w:noProof/>
            <w:sz w:val="22"/>
            <w:szCs w:val="22"/>
            <w:lang w:eastAsia="en-GB" w:bidi="ar-SA"/>
          </w:rPr>
          <w:tab/>
        </w:r>
        <w:r w:rsidR="00EF42C1" w:rsidRPr="00E64488">
          <w:rPr>
            <w:rStyle w:val="Hyperlink"/>
            <w:noProof/>
          </w:rPr>
          <w:t>Summary of the assessment</w:t>
        </w:r>
        <w:r w:rsidR="00EF42C1">
          <w:rPr>
            <w:noProof/>
            <w:webHidden/>
          </w:rPr>
          <w:tab/>
        </w:r>
        <w:r w:rsidR="00EF42C1">
          <w:rPr>
            <w:noProof/>
            <w:webHidden/>
          </w:rPr>
          <w:fldChar w:fldCharType="begin"/>
        </w:r>
        <w:r w:rsidR="00EF42C1">
          <w:rPr>
            <w:noProof/>
            <w:webHidden/>
          </w:rPr>
          <w:instrText xml:space="preserve"> PAGEREF _Toc516642376 \h </w:instrText>
        </w:r>
        <w:r w:rsidR="00EF42C1">
          <w:rPr>
            <w:noProof/>
            <w:webHidden/>
          </w:rPr>
        </w:r>
        <w:r w:rsidR="00EF42C1">
          <w:rPr>
            <w:noProof/>
            <w:webHidden/>
          </w:rPr>
          <w:fldChar w:fldCharType="separate"/>
        </w:r>
        <w:r w:rsidR="00186057">
          <w:rPr>
            <w:noProof/>
            <w:webHidden/>
          </w:rPr>
          <w:t>6</w:t>
        </w:r>
        <w:r w:rsidR="00EF42C1">
          <w:rPr>
            <w:noProof/>
            <w:webHidden/>
          </w:rPr>
          <w:fldChar w:fldCharType="end"/>
        </w:r>
      </w:hyperlink>
    </w:p>
    <w:p w14:paraId="226E7E18" w14:textId="5422EB1E"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7" w:history="1">
        <w:r w:rsidR="00EF42C1" w:rsidRPr="00E64488">
          <w:rPr>
            <w:rStyle w:val="Hyperlink"/>
            <w:noProof/>
          </w:rPr>
          <w:t>2.1</w:t>
        </w:r>
        <w:r w:rsidR="00EF42C1">
          <w:rPr>
            <w:rFonts w:eastAsiaTheme="minorEastAsia" w:cstheme="minorBidi"/>
            <w:smallCaps w:val="0"/>
            <w:noProof/>
            <w:sz w:val="22"/>
            <w:szCs w:val="22"/>
            <w:lang w:eastAsia="en-GB" w:bidi="ar-SA"/>
          </w:rPr>
          <w:tab/>
        </w:r>
        <w:r w:rsidR="00EF42C1" w:rsidRPr="00E64488">
          <w:rPr>
            <w:rStyle w:val="Hyperlink"/>
            <w:noProof/>
          </w:rPr>
          <w:t>Risk assessment</w:t>
        </w:r>
        <w:r w:rsidR="00EF42C1">
          <w:rPr>
            <w:noProof/>
            <w:webHidden/>
          </w:rPr>
          <w:tab/>
        </w:r>
        <w:r w:rsidR="00EF42C1">
          <w:rPr>
            <w:noProof/>
            <w:webHidden/>
          </w:rPr>
          <w:fldChar w:fldCharType="begin"/>
        </w:r>
        <w:r w:rsidR="00EF42C1">
          <w:rPr>
            <w:noProof/>
            <w:webHidden/>
          </w:rPr>
          <w:instrText xml:space="preserve"> PAGEREF _Toc516642377 \h </w:instrText>
        </w:r>
        <w:r w:rsidR="00EF42C1">
          <w:rPr>
            <w:noProof/>
            <w:webHidden/>
          </w:rPr>
        </w:r>
        <w:r w:rsidR="00EF42C1">
          <w:rPr>
            <w:noProof/>
            <w:webHidden/>
          </w:rPr>
          <w:fldChar w:fldCharType="separate"/>
        </w:r>
        <w:r w:rsidR="00186057">
          <w:rPr>
            <w:noProof/>
            <w:webHidden/>
          </w:rPr>
          <w:t>6</w:t>
        </w:r>
        <w:r w:rsidR="00EF42C1">
          <w:rPr>
            <w:noProof/>
            <w:webHidden/>
          </w:rPr>
          <w:fldChar w:fldCharType="end"/>
        </w:r>
      </w:hyperlink>
    </w:p>
    <w:p w14:paraId="03E8289B" w14:textId="2E6FCAD8"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78" w:history="1">
        <w:r w:rsidR="00EF42C1" w:rsidRPr="00E64488">
          <w:rPr>
            <w:rStyle w:val="Hyperlink"/>
            <w:noProof/>
          </w:rPr>
          <w:t>2.2</w:t>
        </w:r>
        <w:r w:rsidR="00EF42C1">
          <w:rPr>
            <w:rFonts w:eastAsiaTheme="minorEastAsia" w:cstheme="minorBidi"/>
            <w:smallCaps w:val="0"/>
            <w:noProof/>
            <w:sz w:val="22"/>
            <w:szCs w:val="22"/>
            <w:lang w:eastAsia="en-GB" w:bidi="ar-SA"/>
          </w:rPr>
          <w:tab/>
        </w:r>
        <w:r w:rsidR="00EF42C1" w:rsidRPr="00E64488">
          <w:rPr>
            <w:rStyle w:val="Hyperlink"/>
            <w:noProof/>
          </w:rPr>
          <w:t>Risk management</w:t>
        </w:r>
        <w:r w:rsidR="00EF42C1">
          <w:rPr>
            <w:noProof/>
            <w:webHidden/>
          </w:rPr>
          <w:tab/>
        </w:r>
        <w:r w:rsidR="00EF42C1">
          <w:rPr>
            <w:noProof/>
            <w:webHidden/>
          </w:rPr>
          <w:fldChar w:fldCharType="begin"/>
        </w:r>
        <w:r w:rsidR="00EF42C1">
          <w:rPr>
            <w:noProof/>
            <w:webHidden/>
          </w:rPr>
          <w:instrText xml:space="preserve"> PAGEREF _Toc516642378 \h </w:instrText>
        </w:r>
        <w:r w:rsidR="00EF42C1">
          <w:rPr>
            <w:noProof/>
            <w:webHidden/>
          </w:rPr>
        </w:r>
        <w:r w:rsidR="00EF42C1">
          <w:rPr>
            <w:noProof/>
            <w:webHidden/>
          </w:rPr>
          <w:fldChar w:fldCharType="separate"/>
        </w:r>
        <w:r w:rsidR="00186057">
          <w:rPr>
            <w:noProof/>
            <w:webHidden/>
          </w:rPr>
          <w:t>7</w:t>
        </w:r>
        <w:r w:rsidR="00EF42C1">
          <w:rPr>
            <w:noProof/>
            <w:webHidden/>
          </w:rPr>
          <w:fldChar w:fldCharType="end"/>
        </w:r>
      </w:hyperlink>
    </w:p>
    <w:p w14:paraId="7C6A6A2B" w14:textId="6225983E"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79" w:history="1">
        <w:r w:rsidR="00EF42C1" w:rsidRPr="00E64488">
          <w:rPr>
            <w:rStyle w:val="Hyperlink"/>
            <w:noProof/>
          </w:rPr>
          <w:t>2.2.1</w:t>
        </w:r>
        <w:r w:rsidR="00EF42C1">
          <w:rPr>
            <w:rFonts w:eastAsiaTheme="minorEastAsia" w:cstheme="minorBidi"/>
            <w:i w:val="0"/>
            <w:iCs w:val="0"/>
            <w:noProof/>
            <w:sz w:val="22"/>
            <w:szCs w:val="22"/>
            <w:lang w:eastAsia="en-GB" w:bidi="ar-SA"/>
          </w:rPr>
          <w:tab/>
        </w:r>
        <w:r w:rsidR="00EF42C1" w:rsidRPr="00E64488">
          <w:rPr>
            <w:rStyle w:val="Hyperlink"/>
            <w:noProof/>
          </w:rPr>
          <w:t>Permissions for processed meat and processed fish products</w:t>
        </w:r>
        <w:r w:rsidR="00EF42C1">
          <w:rPr>
            <w:noProof/>
            <w:webHidden/>
          </w:rPr>
          <w:tab/>
        </w:r>
        <w:r w:rsidR="00EF42C1">
          <w:rPr>
            <w:noProof/>
            <w:webHidden/>
          </w:rPr>
          <w:fldChar w:fldCharType="begin"/>
        </w:r>
        <w:r w:rsidR="00EF42C1">
          <w:rPr>
            <w:noProof/>
            <w:webHidden/>
          </w:rPr>
          <w:instrText xml:space="preserve"> PAGEREF _Toc516642379 \h </w:instrText>
        </w:r>
        <w:r w:rsidR="00EF42C1">
          <w:rPr>
            <w:noProof/>
            <w:webHidden/>
          </w:rPr>
        </w:r>
        <w:r w:rsidR="00EF42C1">
          <w:rPr>
            <w:noProof/>
            <w:webHidden/>
          </w:rPr>
          <w:fldChar w:fldCharType="separate"/>
        </w:r>
        <w:r w:rsidR="00186057">
          <w:rPr>
            <w:noProof/>
            <w:webHidden/>
          </w:rPr>
          <w:t>7</w:t>
        </w:r>
        <w:r w:rsidR="00EF42C1">
          <w:rPr>
            <w:noProof/>
            <w:webHidden/>
          </w:rPr>
          <w:fldChar w:fldCharType="end"/>
        </w:r>
      </w:hyperlink>
    </w:p>
    <w:p w14:paraId="1977E5BD" w14:textId="78D7984D"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0" w:history="1">
        <w:r w:rsidR="00EF42C1" w:rsidRPr="00E64488">
          <w:rPr>
            <w:rStyle w:val="Hyperlink"/>
            <w:noProof/>
          </w:rPr>
          <w:t>2.2.2</w:t>
        </w:r>
        <w:r w:rsidR="00EF42C1">
          <w:rPr>
            <w:rFonts w:eastAsiaTheme="minorEastAsia" w:cstheme="minorBidi"/>
            <w:i w:val="0"/>
            <w:iCs w:val="0"/>
            <w:noProof/>
            <w:sz w:val="22"/>
            <w:szCs w:val="22"/>
            <w:lang w:eastAsia="en-GB" w:bidi="ar-SA"/>
          </w:rPr>
          <w:tab/>
        </w:r>
        <w:r w:rsidR="00EF42C1" w:rsidRPr="00E64488">
          <w:rPr>
            <w:rStyle w:val="Hyperlink"/>
            <w:noProof/>
          </w:rPr>
          <w:t>Labelling considerations</w:t>
        </w:r>
        <w:r w:rsidR="00EF42C1">
          <w:rPr>
            <w:noProof/>
            <w:webHidden/>
          </w:rPr>
          <w:tab/>
        </w:r>
        <w:r w:rsidR="00EF42C1">
          <w:rPr>
            <w:noProof/>
            <w:webHidden/>
          </w:rPr>
          <w:fldChar w:fldCharType="begin"/>
        </w:r>
        <w:r w:rsidR="00EF42C1">
          <w:rPr>
            <w:noProof/>
            <w:webHidden/>
          </w:rPr>
          <w:instrText xml:space="preserve"> PAGEREF _Toc516642380 \h </w:instrText>
        </w:r>
        <w:r w:rsidR="00EF42C1">
          <w:rPr>
            <w:noProof/>
            <w:webHidden/>
          </w:rPr>
        </w:r>
        <w:r w:rsidR="00EF42C1">
          <w:rPr>
            <w:noProof/>
            <w:webHidden/>
          </w:rPr>
          <w:fldChar w:fldCharType="separate"/>
        </w:r>
        <w:r w:rsidR="00186057">
          <w:rPr>
            <w:noProof/>
            <w:webHidden/>
          </w:rPr>
          <w:t>8</w:t>
        </w:r>
        <w:r w:rsidR="00EF42C1">
          <w:rPr>
            <w:noProof/>
            <w:webHidden/>
          </w:rPr>
          <w:fldChar w:fldCharType="end"/>
        </w:r>
      </w:hyperlink>
    </w:p>
    <w:p w14:paraId="27B54FB7" w14:textId="0B0974C2"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1" w:history="1">
        <w:r w:rsidR="00EF42C1" w:rsidRPr="00E64488">
          <w:rPr>
            <w:rStyle w:val="Hyperlink"/>
            <w:noProof/>
          </w:rPr>
          <w:t>2.2.3</w:t>
        </w:r>
        <w:r w:rsidR="00EF42C1">
          <w:rPr>
            <w:rFonts w:eastAsiaTheme="minorEastAsia" w:cstheme="minorBidi"/>
            <w:i w:val="0"/>
            <w:iCs w:val="0"/>
            <w:noProof/>
            <w:sz w:val="22"/>
            <w:szCs w:val="22"/>
            <w:lang w:eastAsia="en-GB" w:bidi="ar-SA"/>
          </w:rPr>
          <w:tab/>
        </w:r>
        <w:r w:rsidR="00EF42C1" w:rsidRPr="00E64488">
          <w:rPr>
            <w:rStyle w:val="Hyperlink"/>
            <w:noProof/>
          </w:rPr>
          <w:t>Specifications</w:t>
        </w:r>
        <w:r w:rsidR="00EF42C1">
          <w:rPr>
            <w:noProof/>
            <w:webHidden/>
          </w:rPr>
          <w:tab/>
        </w:r>
        <w:r w:rsidR="00EF42C1">
          <w:rPr>
            <w:noProof/>
            <w:webHidden/>
          </w:rPr>
          <w:fldChar w:fldCharType="begin"/>
        </w:r>
        <w:r w:rsidR="00EF42C1">
          <w:rPr>
            <w:noProof/>
            <w:webHidden/>
          </w:rPr>
          <w:instrText xml:space="preserve"> PAGEREF _Toc516642381 \h </w:instrText>
        </w:r>
        <w:r w:rsidR="00EF42C1">
          <w:rPr>
            <w:noProof/>
            <w:webHidden/>
          </w:rPr>
        </w:r>
        <w:r w:rsidR="00EF42C1">
          <w:rPr>
            <w:noProof/>
            <w:webHidden/>
          </w:rPr>
          <w:fldChar w:fldCharType="separate"/>
        </w:r>
        <w:r w:rsidR="00186057">
          <w:rPr>
            <w:noProof/>
            <w:webHidden/>
          </w:rPr>
          <w:t>8</w:t>
        </w:r>
        <w:r w:rsidR="00EF42C1">
          <w:rPr>
            <w:noProof/>
            <w:webHidden/>
          </w:rPr>
          <w:fldChar w:fldCharType="end"/>
        </w:r>
      </w:hyperlink>
    </w:p>
    <w:p w14:paraId="71BFE0F7" w14:textId="5D1F44A4"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2" w:history="1">
        <w:r w:rsidR="00EF42C1" w:rsidRPr="00E64488">
          <w:rPr>
            <w:rStyle w:val="Hyperlink"/>
            <w:noProof/>
          </w:rPr>
          <w:t>2.2.4</w:t>
        </w:r>
        <w:r w:rsidR="00EF42C1">
          <w:rPr>
            <w:rFonts w:eastAsiaTheme="minorEastAsia" w:cstheme="minorBidi"/>
            <w:i w:val="0"/>
            <w:iCs w:val="0"/>
            <w:noProof/>
            <w:sz w:val="22"/>
            <w:szCs w:val="22"/>
            <w:lang w:eastAsia="en-GB" w:bidi="ar-SA"/>
          </w:rPr>
          <w:tab/>
        </w:r>
        <w:r w:rsidR="00EF42C1" w:rsidRPr="00E64488">
          <w:rPr>
            <w:rStyle w:val="Hyperlink"/>
            <w:noProof/>
          </w:rPr>
          <w:t>Analytical methods</w:t>
        </w:r>
        <w:r w:rsidR="00EF42C1">
          <w:rPr>
            <w:noProof/>
            <w:webHidden/>
          </w:rPr>
          <w:tab/>
        </w:r>
        <w:r w:rsidR="00EF42C1">
          <w:rPr>
            <w:noProof/>
            <w:webHidden/>
          </w:rPr>
          <w:fldChar w:fldCharType="begin"/>
        </w:r>
        <w:r w:rsidR="00EF42C1">
          <w:rPr>
            <w:noProof/>
            <w:webHidden/>
          </w:rPr>
          <w:instrText xml:space="preserve"> PAGEREF _Toc516642382 \h </w:instrText>
        </w:r>
        <w:r w:rsidR="00EF42C1">
          <w:rPr>
            <w:noProof/>
            <w:webHidden/>
          </w:rPr>
        </w:r>
        <w:r w:rsidR="00EF42C1">
          <w:rPr>
            <w:noProof/>
            <w:webHidden/>
          </w:rPr>
          <w:fldChar w:fldCharType="separate"/>
        </w:r>
        <w:r w:rsidR="00186057">
          <w:rPr>
            <w:noProof/>
            <w:webHidden/>
          </w:rPr>
          <w:t>8</w:t>
        </w:r>
        <w:r w:rsidR="00EF42C1">
          <w:rPr>
            <w:noProof/>
            <w:webHidden/>
          </w:rPr>
          <w:fldChar w:fldCharType="end"/>
        </w:r>
      </w:hyperlink>
    </w:p>
    <w:p w14:paraId="69265A7D" w14:textId="783142A2"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83" w:history="1">
        <w:r w:rsidR="00EF42C1" w:rsidRPr="00E64488">
          <w:rPr>
            <w:rStyle w:val="Hyperlink"/>
            <w:noProof/>
          </w:rPr>
          <w:t>2.3</w:t>
        </w:r>
        <w:r w:rsidR="00EF42C1">
          <w:rPr>
            <w:rFonts w:eastAsiaTheme="minorEastAsia" w:cstheme="minorBidi"/>
            <w:smallCaps w:val="0"/>
            <w:noProof/>
            <w:sz w:val="22"/>
            <w:szCs w:val="22"/>
            <w:lang w:eastAsia="en-GB" w:bidi="ar-SA"/>
          </w:rPr>
          <w:tab/>
        </w:r>
        <w:r w:rsidR="00EF42C1" w:rsidRPr="00E64488">
          <w:rPr>
            <w:rStyle w:val="Hyperlink"/>
            <w:noProof/>
          </w:rPr>
          <w:t>Risk communication</w:t>
        </w:r>
        <w:r w:rsidR="00EF42C1">
          <w:rPr>
            <w:noProof/>
            <w:webHidden/>
          </w:rPr>
          <w:tab/>
        </w:r>
        <w:r w:rsidR="00EF42C1">
          <w:rPr>
            <w:noProof/>
            <w:webHidden/>
          </w:rPr>
          <w:fldChar w:fldCharType="begin"/>
        </w:r>
        <w:r w:rsidR="00EF42C1">
          <w:rPr>
            <w:noProof/>
            <w:webHidden/>
          </w:rPr>
          <w:instrText xml:space="preserve"> PAGEREF _Toc516642383 \h </w:instrText>
        </w:r>
        <w:r w:rsidR="00EF42C1">
          <w:rPr>
            <w:noProof/>
            <w:webHidden/>
          </w:rPr>
        </w:r>
        <w:r w:rsidR="00EF42C1">
          <w:rPr>
            <w:noProof/>
            <w:webHidden/>
          </w:rPr>
          <w:fldChar w:fldCharType="separate"/>
        </w:r>
        <w:r w:rsidR="00186057">
          <w:rPr>
            <w:noProof/>
            <w:webHidden/>
          </w:rPr>
          <w:t>8</w:t>
        </w:r>
        <w:r w:rsidR="00EF42C1">
          <w:rPr>
            <w:noProof/>
            <w:webHidden/>
          </w:rPr>
          <w:fldChar w:fldCharType="end"/>
        </w:r>
      </w:hyperlink>
    </w:p>
    <w:p w14:paraId="7F6A69DD" w14:textId="7AAFE613"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4" w:history="1">
        <w:r w:rsidR="00EF42C1" w:rsidRPr="00E64488">
          <w:rPr>
            <w:rStyle w:val="Hyperlink"/>
            <w:noProof/>
          </w:rPr>
          <w:t>2.3.1</w:t>
        </w:r>
        <w:r w:rsidR="00EF42C1">
          <w:rPr>
            <w:rFonts w:eastAsiaTheme="minorEastAsia" w:cstheme="minorBidi"/>
            <w:i w:val="0"/>
            <w:iCs w:val="0"/>
            <w:noProof/>
            <w:sz w:val="22"/>
            <w:szCs w:val="22"/>
            <w:lang w:eastAsia="en-GB" w:bidi="ar-SA"/>
          </w:rPr>
          <w:tab/>
        </w:r>
        <w:r w:rsidR="00EF42C1" w:rsidRPr="00E64488">
          <w:rPr>
            <w:rStyle w:val="Hyperlink"/>
            <w:noProof/>
          </w:rPr>
          <w:t>Consultation</w:t>
        </w:r>
        <w:r w:rsidR="00EF42C1">
          <w:rPr>
            <w:noProof/>
            <w:webHidden/>
          </w:rPr>
          <w:tab/>
        </w:r>
        <w:r w:rsidR="00EF42C1">
          <w:rPr>
            <w:noProof/>
            <w:webHidden/>
          </w:rPr>
          <w:fldChar w:fldCharType="begin"/>
        </w:r>
        <w:r w:rsidR="00EF42C1">
          <w:rPr>
            <w:noProof/>
            <w:webHidden/>
          </w:rPr>
          <w:instrText xml:space="preserve"> PAGEREF _Toc516642384 \h </w:instrText>
        </w:r>
        <w:r w:rsidR="00EF42C1">
          <w:rPr>
            <w:noProof/>
            <w:webHidden/>
          </w:rPr>
        </w:r>
        <w:r w:rsidR="00EF42C1">
          <w:rPr>
            <w:noProof/>
            <w:webHidden/>
          </w:rPr>
          <w:fldChar w:fldCharType="separate"/>
        </w:r>
        <w:r w:rsidR="00186057">
          <w:rPr>
            <w:noProof/>
            <w:webHidden/>
          </w:rPr>
          <w:t>8</w:t>
        </w:r>
        <w:r w:rsidR="00EF42C1">
          <w:rPr>
            <w:noProof/>
            <w:webHidden/>
          </w:rPr>
          <w:fldChar w:fldCharType="end"/>
        </w:r>
      </w:hyperlink>
    </w:p>
    <w:p w14:paraId="306C382D" w14:textId="129983AA"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5" w:history="1">
        <w:r w:rsidR="00EF42C1" w:rsidRPr="00E64488">
          <w:rPr>
            <w:rStyle w:val="Hyperlink"/>
            <w:noProof/>
          </w:rPr>
          <w:t>2.3.2</w:t>
        </w:r>
        <w:r w:rsidR="00EF42C1">
          <w:rPr>
            <w:rFonts w:eastAsiaTheme="minorEastAsia" w:cstheme="minorBidi"/>
            <w:i w:val="0"/>
            <w:iCs w:val="0"/>
            <w:noProof/>
            <w:sz w:val="22"/>
            <w:szCs w:val="22"/>
            <w:lang w:eastAsia="en-GB" w:bidi="ar-SA"/>
          </w:rPr>
          <w:tab/>
        </w:r>
        <w:r w:rsidR="00EF42C1" w:rsidRPr="00E64488">
          <w:rPr>
            <w:rStyle w:val="Hyperlink"/>
            <w:noProof/>
          </w:rPr>
          <w:t>World Trade Organization (WTO)</w:t>
        </w:r>
        <w:r w:rsidR="00EF42C1">
          <w:rPr>
            <w:noProof/>
            <w:webHidden/>
          </w:rPr>
          <w:tab/>
        </w:r>
        <w:r w:rsidR="00EF42C1">
          <w:rPr>
            <w:noProof/>
            <w:webHidden/>
          </w:rPr>
          <w:fldChar w:fldCharType="begin"/>
        </w:r>
        <w:r w:rsidR="00EF42C1">
          <w:rPr>
            <w:noProof/>
            <w:webHidden/>
          </w:rPr>
          <w:instrText xml:space="preserve"> PAGEREF _Toc516642385 \h </w:instrText>
        </w:r>
        <w:r w:rsidR="00EF42C1">
          <w:rPr>
            <w:noProof/>
            <w:webHidden/>
          </w:rPr>
        </w:r>
        <w:r w:rsidR="00EF42C1">
          <w:rPr>
            <w:noProof/>
            <w:webHidden/>
          </w:rPr>
          <w:fldChar w:fldCharType="separate"/>
        </w:r>
        <w:r w:rsidR="00186057">
          <w:rPr>
            <w:noProof/>
            <w:webHidden/>
          </w:rPr>
          <w:t>9</w:t>
        </w:r>
        <w:r w:rsidR="00EF42C1">
          <w:rPr>
            <w:noProof/>
            <w:webHidden/>
          </w:rPr>
          <w:fldChar w:fldCharType="end"/>
        </w:r>
      </w:hyperlink>
    </w:p>
    <w:p w14:paraId="42B3D79C" w14:textId="4EBEB088" w:rsidR="00EF42C1" w:rsidRDefault="00DE5ED7">
      <w:pPr>
        <w:pStyle w:val="TOC2"/>
        <w:tabs>
          <w:tab w:val="left" w:pos="880"/>
          <w:tab w:val="right" w:leader="dot" w:pos="9060"/>
        </w:tabs>
        <w:rPr>
          <w:rFonts w:eastAsiaTheme="minorEastAsia" w:cstheme="minorBidi"/>
          <w:smallCaps w:val="0"/>
          <w:noProof/>
          <w:sz w:val="22"/>
          <w:szCs w:val="22"/>
          <w:lang w:eastAsia="en-GB" w:bidi="ar-SA"/>
        </w:rPr>
      </w:pPr>
      <w:hyperlink w:anchor="_Toc516642386" w:history="1">
        <w:r w:rsidR="00EF42C1" w:rsidRPr="00E64488">
          <w:rPr>
            <w:rStyle w:val="Hyperlink"/>
            <w:noProof/>
          </w:rPr>
          <w:t>2.4</w:t>
        </w:r>
        <w:r w:rsidR="00EF42C1">
          <w:rPr>
            <w:rFonts w:eastAsiaTheme="minorEastAsia" w:cstheme="minorBidi"/>
            <w:smallCaps w:val="0"/>
            <w:noProof/>
            <w:sz w:val="22"/>
            <w:szCs w:val="22"/>
            <w:lang w:eastAsia="en-GB" w:bidi="ar-SA"/>
          </w:rPr>
          <w:tab/>
        </w:r>
        <w:r w:rsidR="00EF42C1" w:rsidRPr="00E64488">
          <w:rPr>
            <w:rStyle w:val="Hyperlink"/>
            <w:noProof/>
          </w:rPr>
          <w:t>FSANZ Act assessment requirements</w:t>
        </w:r>
        <w:r w:rsidR="00EF42C1">
          <w:rPr>
            <w:noProof/>
            <w:webHidden/>
          </w:rPr>
          <w:tab/>
        </w:r>
        <w:r w:rsidR="00EF42C1">
          <w:rPr>
            <w:noProof/>
            <w:webHidden/>
          </w:rPr>
          <w:fldChar w:fldCharType="begin"/>
        </w:r>
        <w:r w:rsidR="00EF42C1">
          <w:rPr>
            <w:noProof/>
            <w:webHidden/>
          </w:rPr>
          <w:instrText xml:space="preserve"> PAGEREF _Toc516642386 \h </w:instrText>
        </w:r>
        <w:r w:rsidR="00EF42C1">
          <w:rPr>
            <w:noProof/>
            <w:webHidden/>
          </w:rPr>
        </w:r>
        <w:r w:rsidR="00EF42C1">
          <w:rPr>
            <w:noProof/>
            <w:webHidden/>
          </w:rPr>
          <w:fldChar w:fldCharType="separate"/>
        </w:r>
        <w:r w:rsidR="00186057">
          <w:rPr>
            <w:noProof/>
            <w:webHidden/>
          </w:rPr>
          <w:t>9</w:t>
        </w:r>
        <w:r w:rsidR="00EF42C1">
          <w:rPr>
            <w:noProof/>
            <w:webHidden/>
          </w:rPr>
          <w:fldChar w:fldCharType="end"/>
        </w:r>
      </w:hyperlink>
    </w:p>
    <w:p w14:paraId="08635D88" w14:textId="4FA44C4B"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7" w:history="1">
        <w:r w:rsidR="00EF42C1" w:rsidRPr="00E64488">
          <w:rPr>
            <w:rStyle w:val="Hyperlink"/>
            <w:noProof/>
          </w:rPr>
          <w:t>2.4.1</w:t>
        </w:r>
        <w:r w:rsidR="00EF42C1">
          <w:rPr>
            <w:rFonts w:eastAsiaTheme="minorEastAsia" w:cstheme="minorBidi"/>
            <w:i w:val="0"/>
            <w:iCs w:val="0"/>
            <w:noProof/>
            <w:sz w:val="22"/>
            <w:szCs w:val="22"/>
            <w:lang w:eastAsia="en-GB" w:bidi="ar-SA"/>
          </w:rPr>
          <w:tab/>
        </w:r>
        <w:r w:rsidR="00EF42C1" w:rsidRPr="00E64488">
          <w:rPr>
            <w:rStyle w:val="Hyperlink"/>
            <w:noProof/>
          </w:rPr>
          <w:t>Section 29</w:t>
        </w:r>
        <w:r w:rsidR="00EF42C1">
          <w:rPr>
            <w:noProof/>
            <w:webHidden/>
          </w:rPr>
          <w:tab/>
        </w:r>
        <w:r w:rsidR="00EF42C1">
          <w:rPr>
            <w:noProof/>
            <w:webHidden/>
          </w:rPr>
          <w:fldChar w:fldCharType="begin"/>
        </w:r>
        <w:r w:rsidR="00EF42C1">
          <w:rPr>
            <w:noProof/>
            <w:webHidden/>
          </w:rPr>
          <w:instrText xml:space="preserve"> PAGEREF _Toc516642387 \h </w:instrText>
        </w:r>
        <w:r w:rsidR="00EF42C1">
          <w:rPr>
            <w:noProof/>
            <w:webHidden/>
          </w:rPr>
        </w:r>
        <w:r w:rsidR="00EF42C1">
          <w:rPr>
            <w:noProof/>
            <w:webHidden/>
          </w:rPr>
          <w:fldChar w:fldCharType="separate"/>
        </w:r>
        <w:r w:rsidR="00186057">
          <w:rPr>
            <w:noProof/>
            <w:webHidden/>
          </w:rPr>
          <w:t>9</w:t>
        </w:r>
        <w:r w:rsidR="00EF42C1">
          <w:rPr>
            <w:noProof/>
            <w:webHidden/>
          </w:rPr>
          <w:fldChar w:fldCharType="end"/>
        </w:r>
      </w:hyperlink>
    </w:p>
    <w:p w14:paraId="6707E66C" w14:textId="0DC94B01"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8" w:history="1">
        <w:r w:rsidR="00EF42C1" w:rsidRPr="00E64488">
          <w:rPr>
            <w:rStyle w:val="Hyperlink"/>
            <w:noProof/>
          </w:rPr>
          <w:t>2.4.2</w:t>
        </w:r>
        <w:r w:rsidR="00EF42C1">
          <w:rPr>
            <w:rFonts w:eastAsiaTheme="minorEastAsia" w:cstheme="minorBidi"/>
            <w:i w:val="0"/>
            <w:iCs w:val="0"/>
            <w:noProof/>
            <w:sz w:val="22"/>
            <w:szCs w:val="22"/>
            <w:lang w:eastAsia="en-GB" w:bidi="ar-SA"/>
          </w:rPr>
          <w:tab/>
        </w:r>
        <w:r w:rsidR="00EF42C1" w:rsidRPr="00E64488">
          <w:rPr>
            <w:rStyle w:val="Hyperlink"/>
            <w:noProof/>
          </w:rPr>
          <w:t>Subsection 18(1)</w:t>
        </w:r>
        <w:r w:rsidR="00EF42C1">
          <w:rPr>
            <w:noProof/>
            <w:webHidden/>
          </w:rPr>
          <w:tab/>
        </w:r>
        <w:r w:rsidR="00EF42C1">
          <w:rPr>
            <w:noProof/>
            <w:webHidden/>
          </w:rPr>
          <w:fldChar w:fldCharType="begin"/>
        </w:r>
        <w:r w:rsidR="00EF42C1">
          <w:rPr>
            <w:noProof/>
            <w:webHidden/>
          </w:rPr>
          <w:instrText xml:space="preserve"> PAGEREF _Toc516642388 \h </w:instrText>
        </w:r>
        <w:r w:rsidR="00EF42C1">
          <w:rPr>
            <w:noProof/>
            <w:webHidden/>
          </w:rPr>
        </w:r>
        <w:r w:rsidR="00EF42C1">
          <w:rPr>
            <w:noProof/>
            <w:webHidden/>
          </w:rPr>
          <w:fldChar w:fldCharType="separate"/>
        </w:r>
        <w:r w:rsidR="00186057">
          <w:rPr>
            <w:noProof/>
            <w:webHidden/>
          </w:rPr>
          <w:t>10</w:t>
        </w:r>
        <w:r w:rsidR="00EF42C1">
          <w:rPr>
            <w:noProof/>
            <w:webHidden/>
          </w:rPr>
          <w:fldChar w:fldCharType="end"/>
        </w:r>
      </w:hyperlink>
    </w:p>
    <w:p w14:paraId="351FAA08" w14:textId="3CEE70F7" w:rsidR="00EF42C1" w:rsidRDefault="00DE5ED7">
      <w:pPr>
        <w:pStyle w:val="TOC3"/>
        <w:tabs>
          <w:tab w:val="left" w:pos="1100"/>
          <w:tab w:val="right" w:leader="dot" w:pos="9060"/>
        </w:tabs>
        <w:rPr>
          <w:rFonts w:eastAsiaTheme="minorEastAsia" w:cstheme="minorBidi"/>
          <w:i w:val="0"/>
          <w:iCs w:val="0"/>
          <w:noProof/>
          <w:sz w:val="22"/>
          <w:szCs w:val="22"/>
          <w:lang w:eastAsia="en-GB" w:bidi="ar-SA"/>
        </w:rPr>
      </w:pPr>
      <w:hyperlink w:anchor="_Toc516642389" w:history="1">
        <w:r w:rsidR="00EF42C1" w:rsidRPr="00E64488">
          <w:rPr>
            <w:rStyle w:val="Hyperlink"/>
            <w:noProof/>
          </w:rPr>
          <w:t>2.4.3</w:t>
        </w:r>
        <w:r w:rsidR="00EF42C1">
          <w:rPr>
            <w:rFonts w:eastAsiaTheme="minorEastAsia" w:cstheme="minorBidi"/>
            <w:i w:val="0"/>
            <w:iCs w:val="0"/>
            <w:noProof/>
            <w:sz w:val="22"/>
            <w:szCs w:val="22"/>
            <w:lang w:eastAsia="en-GB" w:bidi="ar-SA"/>
          </w:rPr>
          <w:tab/>
        </w:r>
        <w:r w:rsidR="00EF42C1" w:rsidRPr="00E64488">
          <w:rPr>
            <w:rStyle w:val="Hyperlink"/>
            <w:noProof/>
          </w:rPr>
          <w:t>Subsection 18(2) considerations</w:t>
        </w:r>
        <w:r w:rsidR="00EF42C1">
          <w:rPr>
            <w:noProof/>
            <w:webHidden/>
          </w:rPr>
          <w:tab/>
        </w:r>
        <w:r w:rsidR="00EF42C1">
          <w:rPr>
            <w:noProof/>
            <w:webHidden/>
          </w:rPr>
          <w:fldChar w:fldCharType="begin"/>
        </w:r>
        <w:r w:rsidR="00EF42C1">
          <w:rPr>
            <w:noProof/>
            <w:webHidden/>
          </w:rPr>
          <w:instrText xml:space="preserve"> PAGEREF _Toc516642389 \h </w:instrText>
        </w:r>
        <w:r w:rsidR="00EF42C1">
          <w:rPr>
            <w:noProof/>
            <w:webHidden/>
          </w:rPr>
        </w:r>
        <w:r w:rsidR="00EF42C1">
          <w:rPr>
            <w:noProof/>
            <w:webHidden/>
          </w:rPr>
          <w:fldChar w:fldCharType="separate"/>
        </w:r>
        <w:r w:rsidR="00186057">
          <w:rPr>
            <w:noProof/>
            <w:webHidden/>
          </w:rPr>
          <w:t>11</w:t>
        </w:r>
        <w:r w:rsidR="00EF42C1">
          <w:rPr>
            <w:noProof/>
            <w:webHidden/>
          </w:rPr>
          <w:fldChar w:fldCharType="end"/>
        </w:r>
      </w:hyperlink>
    </w:p>
    <w:p w14:paraId="1ACAC4DB" w14:textId="53166A28" w:rsidR="00EF42C1" w:rsidRDefault="00DE5E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6642390" w:history="1">
        <w:r w:rsidR="00EF42C1" w:rsidRPr="00E64488">
          <w:rPr>
            <w:rStyle w:val="Hyperlink"/>
            <w:noProof/>
          </w:rPr>
          <w:t>3</w:t>
        </w:r>
        <w:r w:rsidR="00EF42C1">
          <w:rPr>
            <w:rFonts w:eastAsiaTheme="minorEastAsia" w:cstheme="minorBidi"/>
            <w:b w:val="0"/>
            <w:bCs w:val="0"/>
            <w:caps w:val="0"/>
            <w:noProof/>
            <w:sz w:val="22"/>
            <w:szCs w:val="22"/>
            <w:lang w:eastAsia="en-GB" w:bidi="ar-SA"/>
          </w:rPr>
          <w:tab/>
        </w:r>
        <w:r w:rsidR="00EF42C1" w:rsidRPr="00E64488">
          <w:rPr>
            <w:rStyle w:val="Hyperlink"/>
            <w:noProof/>
          </w:rPr>
          <w:t>Draft variation</w:t>
        </w:r>
        <w:r w:rsidR="00EF42C1">
          <w:rPr>
            <w:noProof/>
            <w:webHidden/>
          </w:rPr>
          <w:tab/>
        </w:r>
        <w:r w:rsidR="00EF42C1">
          <w:rPr>
            <w:noProof/>
            <w:webHidden/>
          </w:rPr>
          <w:fldChar w:fldCharType="begin"/>
        </w:r>
        <w:r w:rsidR="00EF42C1">
          <w:rPr>
            <w:noProof/>
            <w:webHidden/>
          </w:rPr>
          <w:instrText xml:space="preserve"> PAGEREF _Toc516642390 \h </w:instrText>
        </w:r>
        <w:r w:rsidR="00EF42C1">
          <w:rPr>
            <w:noProof/>
            <w:webHidden/>
          </w:rPr>
        </w:r>
        <w:r w:rsidR="00EF42C1">
          <w:rPr>
            <w:noProof/>
            <w:webHidden/>
          </w:rPr>
          <w:fldChar w:fldCharType="separate"/>
        </w:r>
        <w:r w:rsidR="00186057">
          <w:rPr>
            <w:noProof/>
            <w:webHidden/>
          </w:rPr>
          <w:t>12</w:t>
        </w:r>
        <w:r w:rsidR="00EF42C1">
          <w:rPr>
            <w:noProof/>
            <w:webHidden/>
          </w:rPr>
          <w:fldChar w:fldCharType="end"/>
        </w:r>
      </w:hyperlink>
    </w:p>
    <w:p w14:paraId="6FEED821" w14:textId="1FE3D1E3" w:rsidR="00EF42C1" w:rsidRDefault="00DE5ED7">
      <w:pPr>
        <w:pStyle w:val="TOC2"/>
        <w:tabs>
          <w:tab w:val="right" w:leader="dot" w:pos="9060"/>
        </w:tabs>
        <w:rPr>
          <w:rFonts w:eastAsiaTheme="minorEastAsia" w:cstheme="minorBidi"/>
          <w:smallCaps w:val="0"/>
          <w:noProof/>
          <w:sz w:val="22"/>
          <w:szCs w:val="22"/>
          <w:lang w:eastAsia="en-GB" w:bidi="ar-SA"/>
        </w:rPr>
      </w:pPr>
      <w:hyperlink w:anchor="_Toc516642391" w:history="1">
        <w:r w:rsidR="00EF42C1" w:rsidRPr="00E64488">
          <w:rPr>
            <w:rStyle w:val="Hyperlink"/>
            <w:noProof/>
          </w:rPr>
          <w:t xml:space="preserve">Attachment A – Draft variation to the </w:t>
        </w:r>
        <w:r w:rsidR="00EF42C1" w:rsidRPr="00E64488">
          <w:rPr>
            <w:rStyle w:val="Hyperlink"/>
            <w:i/>
            <w:noProof/>
          </w:rPr>
          <w:t>Australia New Zealand Food Standards Code</w:t>
        </w:r>
        <w:r w:rsidR="00EF42C1">
          <w:rPr>
            <w:noProof/>
            <w:webHidden/>
          </w:rPr>
          <w:tab/>
        </w:r>
        <w:r w:rsidR="00EF42C1">
          <w:rPr>
            <w:noProof/>
            <w:webHidden/>
          </w:rPr>
          <w:fldChar w:fldCharType="begin"/>
        </w:r>
        <w:r w:rsidR="00EF42C1">
          <w:rPr>
            <w:noProof/>
            <w:webHidden/>
          </w:rPr>
          <w:instrText xml:space="preserve"> PAGEREF _Toc516642391 \h </w:instrText>
        </w:r>
        <w:r w:rsidR="00EF42C1">
          <w:rPr>
            <w:noProof/>
            <w:webHidden/>
          </w:rPr>
        </w:r>
        <w:r w:rsidR="00EF42C1">
          <w:rPr>
            <w:noProof/>
            <w:webHidden/>
          </w:rPr>
          <w:fldChar w:fldCharType="separate"/>
        </w:r>
        <w:r w:rsidR="00186057">
          <w:rPr>
            <w:noProof/>
            <w:webHidden/>
          </w:rPr>
          <w:t>13</w:t>
        </w:r>
        <w:r w:rsidR="00EF42C1">
          <w:rPr>
            <w:noProof/>
            <w:webHidden/>
          </w:rPr>
          <w:fldChar w:fldCharType="end"/>
        </w:r>
      </w:hyperlink>
    </w:p>
    <w:p w14:paraId="38E64A46" w14:textId="178D600C" w:rsidR="00EF42C1" w:rsidRDefault="00DE5ED7">
      <w:pPr>
        <w:pStyle w:val="TOC2"/>
        <w:tabs>
          <w:tab w:val="right" w:leader="dot" w:pos="9060"/>
        </w:tabs>
        <w:rPr>
          <w:rFonts w:eastAsiaTheme="minorEastAsia" w:cstheme="minorBidi"/>
          <w:smallCaps w:val="0"/>
          <w:noProof/>
          <w:sz w:val="22"/>
          <w:szCs w:val="22"/>
          <w:lang w:eastAsia="en-GB" w:bidi="ar-SA"/>
        </w:rPr>
      </w:pPr>
      <w:hyperlink w:anchor="_Toc516642392" w:history="1">
        <w:r w:rsidR="00EF42C1">
          <w:rPr>
            <w:noProof/>
            <w:webHidden/>
          </w:rPr>
          <w:tab/>
        </w:r>
        <w:r w:rsidR="00EF42C1">
          <w:rPr>
            <w:noProof/>
            <w:webHidden/>
          </w:rPr>
          <w:fldChar w:fldCharType="begin"/>
        </w:r>
        <w:r w:rsidR="00EF42C1">
          <w:rPr>
            <w:noProof/>
            <w:webHidden/>
          </w:rPr>
          <w:instrText xml:space="preserve"> PAGEREF _Toc516642392 \h </w:instrText>
        </w:r>
        <w:r w:rsidR="00EF42C1">
          <w:rPr>
            <w:noProof/>
            <w:webHidden/>
          </w:rPr>
        </w:r>
        <w:r w:rsidR="00EF42C1">
          <w:rPr>
            <w:noProof/>
            <w:webHidden/>
          </w:rPr>
          <w:fldChar w:fldCharType="separate"/>
        </w:r>
        <w:r w:rsidR="00186057">
          <w:rPr>
            <w:noProof/>
            <w:webHidden/>
          </w:rPr>
          <w:t>13</w:t>
        </w:r>
        <w:r w:rsidR="00EF42C1">
          <w:rPr>
            <w:noProof/>
            <w:webHidden/>
          </w:rPr>
          <w:fldChar w:fldCharType="end"/>
        </w:r>
      </w:hyperlink>
    </w:p>
    <w:p w14:paraId="75BC22A3" w14:textId="18980A77" w:rsidR="00EF42C1" w:rsidRDefault="00DE5ED7">
      <w:pPr>
        <w:pStyle w:val="TOC2"/>
        <w:tabs>
          <w:tab w:val="right" w:leader="dot" w:pos="9060"/>
        </w:tabs>
        <w:rPr>
          <w:rFonts w:eastAsiaTheme="minorEastAsia" w:cstheme="minorBidi"/>
          <w:smallCaps w:val="0"/>
          <w:noProof/>
          <w:sz w:val="22"/>
          <w:szCs w:val="22"/>
          <w:lang w:eastAsia="en-GB" w:bidi="ar-SA"/>
        </w:rPr>
      </w:pPr>
      <w:hyperlink w:anchor="_Toc516642393" w:history="1">
        <w:r w:rsidR="00EF42C1" w:rsidRPr="00E64488">
          <w:rPr>
            <w:rStyle w:val="Hyperlink"/>
            <w:noProof/>
          </w:rPr>
          <w:t>Attachment B – Draft Explanatory Statement</w:t>
        </w:r>
        <w:r w:rsidR="00EF42C1">
          <w:rPr>
            <w:noProof/>
            <w:webHidden/>
          </w:rPr>
          <w:tab/>
        </w:r>
        <w:r w:rsidR="00EF42C1">
          <w:rPr>
            <w:noProof/>
            <w:webHidden/>
          </w:rPr>
          <w:fldChar w:fldCharType="begin"/>
        </w:r>
        <w:r w:rsidR="00EF42C1">
          <w:rPr>
            <w:noProof/>
            <w:webHidden/>
          </w:rPr>
          <w:instrText xml:space="preserve"> PAGEREF _Toc516642393 \h </w:instrText>
        </w:r>
        <w:r w:rsidR="00EF42C1">
          <w:rPr>
            <w:noProof/>
            <w:webHidden/>
          </w:rPr>
        </w:r>
        <w:r w:rsidR="00EF42C1">
          <w:rPr>
            <w:noProof/>
            <w:webHidden/>
          </w:rPr>
          <w:fldChar w:fldCharType="separate"/>
        </w:r>
        <w:r w:rsidR="00186057">
          <w:rPr>
            <w:noProof/>
            <w:webHidden/>
          </w:rPr>
          <w:t>16</w:t>
        </w:r>
        <w:r w:rsidR="00EF42C1">
          <w:rPr>
            <w:noProof/>
            <w:webHidden/>
          </w:rPr>
          <w:fldChar w:fldCharType="end"/>
        </w:r>
      </w:hyperlink>
    </w:p>
    <w:p w14:paraId="698E9C97" w14:textId="004DADEE" w:rsidR="00051ED9" w:rsidRPr="0059227F" w:rsidRDefault="00051ED9" w:rsidP="00051ED9">
      <w:pPr>
        <w:rPr>
          <w:rFonts w:cs="Arial"/>
        </w:rPr>
      </w:pPr>
      <w:r w:rsidRPr="002C4A91">
        <w:rPr>
          <w:rFonts w:cs="Arial"/>
          <w:sz w:val="20"/>
          <w:szCs w:val="20"/>
        </w:rPr>
        <w:fldChar w:fldCharType="end"/>
      </w:r>
    </w:p>
    <w:p w14:paraId="1F1A35D5" w14:textId="77777777" w:rsidR="00D73931" w:rsidRPr="00E203C2" w:rsidRDefault="00D73931" w:rsidP="00051ED9"/>
    <w:p w14:paraId="4B8FF236" w14:textId="77777777" w:rsidR="0037520F" w:rsidRPr="008844E4" w:rsidRDefault="0037520F" w:rsidP="0037520F">
      <w:pPr>
        <w:rPr>
          <w:b/>
          <w:szCs w:val="22"/>
        </w:rPr>
      </w:pPr>
      <w:r w:rsidRPr="008844E4">
        <w:rPr>
          <w:b/>
          <w:szCs w:val="22"/>
        </w:rPr>
        <w:t>Supporting document</w:t>
      </w:r>
    </w:p>
    <w:p w14:paraId="6C4BE68B" w14:textId="77777777" w:rsidR="0037520F" w:rsidRPr="0089264A" w:rsidRDefault="0037520F" w:rsidP="0037520F">
      <w:pPr>
        <w:rPr>
          <w:szCs w:val="22"/>
        </w:rPr>
      </w:pPr>
    </w:p>
    <w:p w14:paraId="36D85609" w14:textId="0167E614" w:rsidR="0037520F" w:rsidRPr="003263B9" w:rsidRDefault="0037520F" w:rsidP="0037520F">
      <w:pPr>
        <w:rPr>
          <w:szCs w:val="22"/>
        </w:rPr>
      </w:pPr>
      <w:r w:rsidRPr="0089264A">
        <w:rPr>
          <w:szCs w:val="22"/>
        </w:rPr>
        <w:t xml:space="preserve">The </w:t>
      </w:r>
      <w:hyperlink r:id="rId23" w:history="1">
        <w:r w:rsidRPr="003263B9">
          <w:rPr>
            <w:rStyle w:val="Hyperlink"/>
            <w:szCs w:val="22"/>
          </w:rPr>
          <w:t>following document</w:t>
        </w:r>
      </w:hyperlink>
      <w:r w:rsidR="00820535" w:rsidRPr="003263B9">
        <w:rPr>
          <w:rStyle w:val="FootnoteReference"/>
          <w:szCs w:val="22"/>
        </w:rPr>
        <w:footnoteReference w:id="2"/>
      </w:r>
      <w:r w:rsidRPr="003263B9">
        <w:rPr>
          <w:szCs w:val="22"/>
        </w:rPr>
        <w:t xml:space="preserve"> </w:t>
      </w:r>
      <w:r w:rsidR="00681754" w:rsidRPr="003263B9">
        <w:rPr>
          <w:szCs w:val="22"/>
        </w:rPr>
        <w:t xml:space="preserve">which informed the assessment of this </w:t>
      </w:r>
      <w:r w:rsidR="00B81E55">
        <w:rPr>
          <w:szCs w:val="22"/>
        </w:rPr>
        <w:t>a</w:t>
      </w:r>
      <w:r w:rsidR="00681754" w:rsidRPr="003263B9">
        <w:rPr>
          <w:szCs w:val="22"/>
        </w:rPr>
        <w:t>pplication</w:t>
      </w:r>
      <w:r w:rsidRPr="003263B9">
        <w:rPr>
          <w:szCs w:val="22"/>
        </w:rPr>
        <w:t xml:space="preserve"> </w:t>
      </w:r>
      <w:r w:rsidR="00A31D04">
        <w:rPr>
          <w:szCs w:val="22"/>
        </w:rPr>
        <w:t>is</w:t>
      </w:r>
      <w:r w:rsidRPr="003263B9">
        <w:rPr>
          <w:szCs w:val="22"/>
        </w:rPr>
        <w:t xml:space="preserve"> available on the FSANZ website</w:t>
      </w:r>
      <w:r w:rsidR="00820535" w:rsidRPr="003263B9">
        <w:rPr>
          <w:szCs w:val="22"/>
        </w:rPr>
        <w:t>:</w:t>
      </w:r>
    </w:p>
    <w:p w14:paraId="2469748F" w14:textId="77777777" w:rsidR="0089264A" w:rsidRPr="003263B9" w:rsidRDefault="0089264A" w:rsidP="0089264A">
      <w:pPr>
        <w:rPr>
          <w:szCs w:val="22"/>
        </w:rPr>
      </w:pPr>
    </w:p>
    <w:p w14:paraId="7CA94AE4" w14:textId="77777777" w:rsidR="0089264A" w:rsidRPr="003263B9" w:rsidRDefault="0089264A" w:rsidP="003A7725">
      <w:pPr>
        <w:ind w:left="1134" w:hanging="1134"/>
      </w:pPr>
      <w:r w:rsidRPr="003263B9">
        <w:t>SD1</w:t>
      </w:r>
      <w:r w:rsidRPr="003263B9">
        <w:tab/>
      </w:r>
      <w:r w:rsidR="003263B9" w:rsidRPr="003263B9">
        <w:t>Risk and technical assessment report</w:t>
      </w:r>
    </w:p>
    <w:p w14:paraId="05AB0ED5" w14:textId="77777777" w:rsidR="00051ED9" w:rsidRDefault="00562917" w:rsidP="00772BDC">
      <w:r w:rsidRPr="00E203C2">
        <w:br w:type="page"/>
      </w:r>
    </w:p>
    <w:p w14:paraId="0E64BA8D" w14:textId="77777777" w:rsidR="00E063C6" w:rsidRDefault="00F33BB8" w:rsidP="000A5DF8">
      <w:pPr>
        <w:pStyle w:val="Heading1"/>
      </w:pPr>
      <w:bookmarkStart w:id="1" w:name="_Toc286391001"/>
      <w:bookmarkStart w:id="2" w:name="_Toc300933414"/>
      <w:bookmarkStart w:id="3" w:name="_Toc516642368"/>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54C82D6" w14:textId="6B451E30" w:rsidR="00B86EA3" w:rsidRDefault="008447B4" w:rsidP="008447B4">
      <w:bookmarkStart w:id="9" w:name="_Toc286391003"/>
      <w:r>
        <w:t xml:space="preserve">Earlee Products Pty Ltd submitted an application </w:t>
      </w:r>
      <w:r w:rsidR="002D4272">
        <w:t xml:space="preserve">in October 2016 </w:t>
      </w:r>
      <w:r>
        <w:t xml:space="preserve">to amend the Australia New Zealand Food Standards Code to permit the use of </w:t>
      </w:r>
      <w:r w:rsidRPr="009D5016">
        <w:t>polyoxyethylene (20) sorbitan monolaurate, more commonly known as poly</w:t>
      </w:r>
      <w:r w:rsidR="00757CB6">
        <w:t xml:space="preserve">sorbate 20, as a food additive. </w:t>
      </w:r>
    </w:p>
    <w:p w14:paraId="634CEA84" w14:textId="77777777" w:rsidR="00B86EA3" w:rsidRDefault="00B86EA3" w:rsidP="008447B4"/>
    <w:p w14:paraId="0B4D7E8F" w14:textId="15A5E1FD" w:rsidR="00003E26" w:rsidRPr="00992995" w:rsidRDefault="00B86EA3" w:rsidP="00003E26">
      <w:pPr>
        <w:rPr>
          <w:lang w:eastAsia="en-AU" w:bidi="ar-SA"/>
        </w:rPr>
      </w:pPr>
      <w:r>
        <w:t xml:space="preserve">The applicant is seeking permission to use </w:t>
      </w:r>
      <w:r w:rsidR="00757CB6">
        <w:t>P</w:t>
      </w:r>
      <w:r w:rsidR="008447B4" w:rsidRPr="009F6F73">
        <w:t>olysorbate 20</w:t>
      </w:r>
      <w:r w:rsidR="003354D1">
        <w:t xml:space="preserve"> </w:t>
      </w:r>
      <w:r w:rsidR="008447B4" w:rsidRPr="009F6F73">
        <w:t xml:space="preserve">as </w:t>
      </w:r>
      <w:r w:rsidR="007400BF">
        <w:t>an</w:t>
      </w:r>
      <w:r w:rsidR="008447B4" w:rsidRPr="009F6F73">
        <w:t xml:space="preserve"> emulsifier for use in processed </w:t>
      </w:r>
      <w:r w:rsidR="008447B4">
        <w:t xml:space="preserve">meat products and processed fish and fish products. </w:t>
      </w:r>
      <w:r w:rsidR="007400BF">
        <w:rPr>
          <w:lang w:bidi="ar-SA"/>
        </w:rPr>
        <w:t xml:space="preserve">Emulsifiers are </w:t>
      </w:r>
      <w:r w:rsidR="001E6DC3">
        <w:rPr>
          <w:lang w:bidi="ar-SA"/>
        </w:rPr>
        <w:t xml:space="preserve">food </w:t>
      </w:r>
      <w:r w:rsidR="007400BF">
        <w:rPr>
          <w:lang w:bidi="ar-SA"/>
        </w:rPr>
        <w:t xml:space="preserve">additives that help two liquids mix. </w:t>
      </w:r>
      <w:r w:rsidR="002403C3">
        <w:t xml:space="preserve">Polysorbate 20 would </w:t>
      </w:r>
      <w:r w:rsidR="00003E26" w:rsidRPr="00992995">
        <w:rPr>
          <w:lang w:eastAsia="en-AU" w:bidi="ar-SA"/>
        </w:rPr>
        <w:t xml:space="preserve">be added to solutions of antimicrobial agents </w:t>
      </w:r>
      <w:r w:rsidR="00003E26">
        <w:rPr>
          <w:lang w:eastAsia="en-AU" w:bidi="ar-SA"/>
        </w:rPr>
        <w:t xml:space="preserve">the applicant </w:t>
      </w:r>
      <w:r w:rsidR="00003E26" w:rsidRPr="00992995">
        <w:rPr>
          <w:lang w:eastAsia="en-AU" w:bidi="ar-SA"/>
        </w:rPr>
        <w:t xml:space="preserve">wishes to use as dips or sprays on processed raw and whole, comminuted meat, poultry, seafood and game products. </w:t>
      </w:r>
      <w:r w:rsidR="00003E26">
        <w:rPr>
          <w:lang w:eastAsia="en-AU" w:bidi="ar-SA"/>
        </w:rPr>
        <w:t xml:space="preserve">Antimicrobial solutions </w:t>
      </w:r>
      <w:r w:rsidR="00003E26" w:rsidRPr="00992995">
        <w:rPr>
          <w:lang w:eastAsia="en-AU" w:bidi="ar-SA"/>
        </w:rPr>
        <w:t xml:space="preserve">extend the </w:t>
      </w:r>
      <w:r w:rsidR="001609AC" w:rsidRPr="00992995">
        <w:rPr>
          <w:lang w:eastAsia="en-AU" w:bidi="ar-SA"/>
        </w:rPr>
        <w:t>shelf</w:t>
      </w:r>
      <w:r w:rsidR="001609AC">
        <w:rPr>
          <w:lang w:eastAsia="en-AU" w:bidi="ar-SA"/>
        </w:rPr>
        <w:t>-</w:t>
      </w:r>
      <w:r w:rsidR="00003E26" w:rsidRPr="00992995">
        <w:rPr>
          <w:lang w:eastAsia="en-AU" w:bidi="ar-SA"/>
        </w:rPr>
        <w:t>life of the treated food by inhibiting the growth of spoilage bacteria, and also pathogenic bacteria.</w:t>
      </w:r>
    </w:p>
    <w:p w14:paraId="36FCFD4E" w14:textId="77777777" w:rsidR="00003E26" w:rsidRPr="00992995" w:rsidRDefault="00003E26" w:rsidP="00003E26">
      <w:pPr>
        <w:rPr>
          <w:lang w:eastAsia="en-AU" w:bidi="ar-SA"/>
        </w:rPr>
      </w:pPr>
    </w:p>
    <w:p w14:paraId="35E93053" w14:textId="62A8BC2F" w:rsidR="00E148C0" w:rsidRDefault="00B86EA3" w:rsidP="00E148C0">
      <w:pPr>
        <w:rPr>
          <w:lang w:eastAsia="en-AU" w:bidi="ar-SA"/>
        </w:rPr>
      </w:pPr>
      <w:r>
        <w:rPr>
          <w:lang w:bidi="ar-SA"/>
        </w:rPr>
        <w:t xml:space="preserve">The applicant states that </w:t>
      </w:r>
      <w:r w:rsidR="00A23D02">
        <w:rPr>
          <w:lang w:bidi="ar-SA"/>
        </w:rPr>
        <w:t>p</w:t>
      </w:r>
      <w:r w:rsidR="00757CB6">
        <w:rPr>
          <w:lang w:bidi="ar-SA"/>
        </w:rPr>
        <w:t xml:space="preserve">olysorbate 20 </w:t>
      </w:r>
      <w:r>
        <w:rPr>
          <w:lang w:bidi="ar-SA"/>
        </w:rPr>
        <w:t>has</w:t>
      </w:r>
      <w:r w:rsidR="00757CB6">
        <w:rPr>
          <w:lang w:bidi="ar-SA"/>
        </w:rPr>
        <w:t xml:space="preserve"> superior emulsifying properties compared to other approved emulsifiers, including other polysorbates.</w:t>
      </w:r>
      <w:r w:rsidR="007400BF">
        <w:rPr>
          <w:lang w:bidi="ar-SA"/>
        </w:rPr>
        <w:t xml:space="preserve"> </w:t>
      </w:r>
      <w:r w:rsidR="00E148C0">
        <w:rPr>
          <w:lang w:eastAsia="en-AU" w:bidi="ar-SA"/>
        </w:rPr>
        <w:t>Polysorbates, including polysorbate 20</w:t>
      </w:r>
      <w:r w:rsidR="00CB5481">
        <w:rPr>
          <w:lang w:eastAsia="en-AU" w:bidi="ar-SA"/>
        </w:rPr>
        <w:t>,</w:t>
      </w:r>
      <w:r w:rsidR="00E148C0">
        <w:rPr>
          <w:lang w:eastAsia="en-AU" w:bidi="ar-SA"/>
        </w:rPr>
        <w:t xml:space="preserve"> ha</w:t>
      </w:r>
      <w:r w:rsidR="00CB5481">
        <w:rPr>
          <w:lang w:eastAsia="en-AU" w:bidi="ar-SA"/>
        </w:rPr>
        <w:t>ve</w:t>
      </w:r>
      <w:r w:rsidR="00E148C0">
        <w:rPr>
          <w:lang w:eastAsia="en-AU" w:bidi="ar-SA"/>
        </w:rPr>
        <w:t xml:space="preserve"> permissions in a number of national and international regulations</w:t>
      </w:r>
      <w:r w:rsidR="00CB5481">
        <w:rPr>
          <w:lang w:eastAsia="en-AU" w:bidi="ar-SA"/>
        </w:rPr>
        <w:t>, including Codex Alimentarius, the European Union, the United States of America, Japan and Singapore</w:t>
      </w:r>
      <w:r w:rsidR="00E148C0">
        <w:rPr>
          <w:lang w:eastAsia="en-AU" w:bidi="ar-SA"/>
        </w:rPr>
        <w:t>.</w:t>
      </w:r>
    </w:p>
    <w:p w14:paraId="7F7345EF" w14:textId="7280EA70" w:rsidR="003354D1" w:rsidRDefault="003354D1" w:rsidP="008447B4"/>
    <w:p w14:paraId="56AED05C" w14:textId="5A242476" w:rsidR="00E148C0" w:rsidRDefault="007400BF" w:rsidP="008447B4">
      <w:r>
        <w:t xml:space="preserve">FSANZ determined </w:t>
      </w:r>
      <w:r w:rsidR="003C5677">
        <w:t xml:space="preserve">that </w:t>
      </w:r>
      <w:r w:rsidR="00E148C0" w:rsidRPr="009D5016">
        <w:t xml:space="preserve">polysorbate 20 </w:t>
      </w:r>
      <w:r w:rsidR="00A80291">
        <w:t>would</w:t>
      </w:r>
      <w:r w:rsidR="003C5677">
        <w:t xml:space="preserve"> </w:t>
      </w:r>
      <w:r w:rsidR="00E148C0" w:rsidRPr="009D5016">
        <w:t>perform th</w:t>
      </w:r>
      <w:r w:rsidR="003C5677">
        <w:t xml:space="preserve">e role stated in the application </w:t>
      </w:r>
      <w:r w:rsidR="00E148C0" w:rsidRPr="009D5016">
        <w:t>in the amounts and form proposed. Its use is therefore technologically justified and it has p</w:t>
      </w:r>
      <w:r w:rsidR="00E148C0">
        <w:t>roven</w:t>
      </w:r>
      <w:r w:rsidR="00E148C0" w:rsidRPr="009D5016">
        <w:t xml:space="preserve"> advantages over </w:t>
      </w:r>
      <w:r w:rsidR="00E148C0">
        <w:t>currently permitted</w:t>
      </w:r>
      <w:r w:rsidR="00E148C0" w:rsidRPr="009D5016">
        <w:t xml:space="preserve"> emulsifiers. </w:t>
      </w:r>
    </w:p>
    <w:p w14:paraId="4F93458B" w14:textId="1CDF3353" w:rsidR="000544FA" w:rsidRDefault="000544FA" w:rsidP="008447B4"/>
    <w:p w14:paraId="39C0C574" w14:textId="51D623E1" w:rsidR="000544FA" w:rsidRDefault="000544FA" w:rsidP="008447B4">
      <w:r>
        <w:t xml:space="preserve">The submitted data, and information from other sources, are considered adequate to define the hazard of polysorbate 20. The available evidence shows that polysorbate 20 is not genotoxic. At </w:t>
      </w:r>
      <w:r w:rsidR="00E349CE">
        <w:t xml:space="preserve">a </w:t>
      </w:r>
      <w:r>
        <w:t xml:space="preserve">very high dose of 25% w/w in the diet, polysorbate 20 causes diarrhoea and associated weight loss and ill-health in laboratory rodents. </w:t>
      </w:r>
      <w:r w:rsidRPr="009D5016">
        <w:t xml:space="preserve">There is no evidence that the polysorbates are reproductive </w:t>
      </w:r>
      <w:r>
        <w:t xml:space="preserve">or developmental </w:t>
      </w:r>
      <w:r w:rsidRPr="009D5016">
        <w:t>toxicants.</w:t>
      </w:r>
    </w:p>
    <w:p w14:paraId="5F93612C" w14:textId="1FAE9444" w:rsidR="000544FA" w:rsidRDefault="000544FA" w:rsidP="008447B4"/>
    <w:p w14:paraId="40A3FA87" w14:textId="05469177" w:rsidR="00B35FEA" w:rsidRPr="00B35FEA" w:rsidRDefault="00B35FEA" w:rsidP="00B35FEA">
      <w:r w:rsidRPr="00B35FEA">
        <w:t xml:space="preserve">Because polysorbates 20, 40, 60, 65 and </w:t>
      </w:r>
      <w:r w:rsidR="00E349CE">
        <w:t>80 are chemically very similar,</w:t>
      </w:r>
      <w:r w:rsidRPr="00B35FEA">
        <w:t xml:space="preserve"> are metabolised by the same pathways and have similar adverse effects in laboratory animals, a group Acceptable Daily Intake (ADI) is appropriate. FSANZ </w:t>
      </w:r>
      <w:r w:rsidR="003C5677">
        <w:t>agrees</w:t>
      </w:r>
      <w:r w:rsidR="003C5677" w:rsidRPr="00B35FEA">
        <w:t xml:space="preserve"> </w:t>
      </w:r>
      <w:r w:rsidRPr="00B35FEA">
        <w:t xml:space="preserve">with the determination of the </w:t>
      </w:r>
      <w:r w:rsidR="001E7F0A">
        <w:t xml:space="preserve">group ADI of </w:t>
      </w:r>
      <w:r w:rsidR="00946453">
        <w:t>0-</w:t>
      </w:r>
      <w:r w:rsidR="001E7F0A">
        <w:t xml:space="preserve">25 mg/kg </w:t>
      </w:r>
      <w:r w:rsidR="001E6DC3">
        <w:t>bodyweight</w:t>
      </w:r>
      <w:r w:rsidR="00005028">
        <w:t>/day established</w:t>
      </w:r>
      <w:r w:rsidRPr="00B35FEA">
        <w:t xml:space="preserve"> by the </w:t>
      </w:r>
      <w:r w:rsidRPr="00B35FEA">
        <w:rPr>
          <w:lang w:eastAsia="en-AU" w:bidi="ar-SA"/>
        </w:rPr>
        <w:t>Joint FAO/WHO Expert Committee on Food Additives (</w:t>
      </w:r>
      <w:r w:rsidRPr="00B35FEA">
        <w:t>JECFA)</w:t>
      </w:r>
      <w:r w:rsidR="00005028">
        <w:t>.</w:t>
      </w:r>
      <w:r w:rsidRPr="00B35FEA">
        <w:t xml:space="preserve"> </w:t>
      </w:r>
    </w:p>
    <w:p w14:paraId="6DCED1D3" w14:textId="77777777" w:rsidR="00B35FEA" w:rsidRPr="00880A36" w:rsidRDefault="00B35FEA" w:rsidP="00B35FEA"/>
    <w:p w14:paraId="1C5F51F6" w14:textId="6659A189" w:rsidR="00880A36" w:rsidRPr="00880A36" w:rsidRDefault="003C5677" w:rsidP="00B35FEA">
      <w:r>
        <w:t xml:space="preserve">A refined </w:t>
      </w:r>
      <w:r w:rsidR="00852127">
        <w:t xml:space="preserve">dietary exposure </w:t>
      </w:r>
      <w:r>
        <w:t xml:space="preserve">assessment for </w:t>
      </w:r>
      <w:r w:rsidR="00852127">
        <w:t xml:space="preserve">polysorbates </w:t>
      </w:r>
      <w:r>
        <w:t xml:space="preserve">was conducted </w:t>
      </w:r>
      <w:r w:rsidR="00852127">
        <w:t>based on the most recent Australian and New Zealand consumption data and information on reported use levels by industry and/or Codex GSFA or EU maximum permitted levels.</w:t>
      </w:r>
      <w:r w:rsidR="00B35FEA" w:rsidRPr="00880A36">
        <w:t xml:space="preserve"> </w:t>
      </w:r>
      <w:r w:rsidR="0009757B">
        <w:t>W</w:t>
      </w:r>
      <w:r w:rsidR="00880A36" w:rsidRPr="00880A36">
        <w:t>hen the additional requested permissions of polysorbate 20 w</w:t>
      </w:r>
      <w:r>
        <w:t xml:space="preserve">ere </w:t>
      </w:r>
      <w:r w:rsidR="00880A36" w:rsidRPr="00880A36">
        <w:t>applied, the mean and 90</w:t>
      </w:r>
      <w:r w:rsidR="00880A36" w:rsidRPr="00880A36">
        <w:rPr>
          <w:vertAlign w:val="superscript"/>
        </w:rPr>
        <w:t>th</w:t>
      </w:r>
      <w:r w:rsidR="00880A36" w:rsidRPr="00880A36">
        <w:t xml:space="preserve"> percentile exposures for all </w:t>
      </w:r>
      <w:r w:rsidR="0009757B">
        <w:t xml:space="preserve">Australian and New Zealand </w:t>
      </w:r>
      <w:r w:rsidR="00880A36" w:rsidRPr="00880A36">
        <w:t xml:space="preserve">population groups assessed did not exceed the ADI (25 mg/kg bw/day). </w:t>
      </w:r>
    </w:p>
    <w:p w14:paraId="2946218C" w14:textId="77777777" w:rsidR="00880A36" w:rsidRPr="00880A36" w:rsidRDefault="00880A36" w:rsidP="00B35FEA"/>
    <w:p w14:paraId="5CE1FDAA" w14:textId="7F006BAE" w:rsidR="00880A36" w:rsidRPr="00880A36" w:rsidRDefault="00852127" w:rsidP="00880A36">
      <w:r w:rsidRPr="006117A0">
        <w:t xml:space="preserve">The </w:t>
      </w:r>
      <w:r>
        <w:t xml:space="preserve">refined estimated baseline exposures </w:t>
      </w:r>
      <w:r w:rsidR="00A80291">
        <w:t xml:space="preserve">is </w:t>
      </w:r>
      <w:r>
        <w:t>conservative</w:t>
      </w:r>
      <w:r w:rsidRPr="006117A0">
        <w:t xml:space="preserve"> and </w:t>
      </w:r>
      <w:r w:rsidR="00A80291">
        <w:t xml:space="preserve">is </w:t>
      </w:r>
      <w:r w:rsidRPr="006117A0">
        <w:t xml:space="preserve">not considered </w:t>
      </w:r>
      <w:r>
        <w:t>to reflect actual dietary exposures</w:t>
      </w:r>
      <w:r w:rsidR="00A80291">
        <w:t>. This is</w:t>
      </w:r>
      <w:r>
        <w:t xml:space="preserve"> </w:t>
      </w:r>
      <w:r w:rsidR="00A80291">
        <w:t xml:space="preserve">because </w:t>
      </w:r>
      <w:r>
        <w:t xml:space="preserve">it </w:t>
      </w:r>
      <w:r w:rsidR="001609AC">
        <w:t>is</w:t>
      </w:r>
      <w:r>
        <w:t xml:space="preserve"> unlikely that all foods in each permitted food category would contain polysorbates at maximum concentrations and unlikely that every consumer would select all of the foods that they consume to be </w:t>
      </w:r>
      <w:r w:rsidR="00A80291">
        <w:t xml:space="preserve">foods </w:t>
      </w:r>
      <w:r>
        <w:t xml:space="preserve">containing polysorbates every day </w:t>
      </w:r>
      <w:r w:rsidR="001609AC">
        <w:t>for a lifetime</w:t>
      </w:r>
      <w:r>
        <w:t xml:space="preserve">. </w:t>
      </w:r>
      <w:r w:rsidR="00880A36" w:rsidRPr="00880A36">
        <w:rPr>
          <w:lang w:val="en-AU" w:eastAsia="en-GB" w:bidi="ar-SA"/>
        </w:rPr>
        <w:t>Therefore</w:t>
      </w:r>
      <w:r w:rsidR="00CF46A4">
        <w:rPr>
          <w:lang w:val="en-AU" w:eastAsia="en-GB" w:bidi="ar-SA"/>
        </w:rPr>
        <w:t>,</w:t>
      </w:r>
      <w:r w:rsidR="00880A36" w:rsidRPr="00880A36">
        <w:rPr>
          <w:lang w:val="en-AU" w:eastAsia="en-GB" w:bidi="ar-SA"/>
        </w:rPr>
        <w:t xml:space="preserve"> it is appropriate to accept the applicant’s request to permit polysorbate 20 as a food additive emulsifier in processed meat and meat products, and processed fish and fish products. </w:t>
      </w:r>
    </w:p>
    <w:p w14:paraId="7DD16883" w14:textId="2FA1DB8D" w:rsidR="00B35FEA" w:rsidRDefault="00B35FEA" w:rsidP="00B35FEA"/>
    <w:p w14:paraId="7B844A5A" w14:textId="00718F9A" w:rsidR="00A80291" w:rsidRDefault="003C5677" w:rsidP="003C5677">
      <w:r>
        <w:t xml:space="preserve">All substances used as food additives must be listed in the statement of ingredients on most packaged foods. </w:t>
      </w:r>
      <w:r w:rsidR="00880A36">
        <w:t xml:space="preserve"> </w:t>
      </w:r>
    </w:p>
    <w:p w14:paraId="3CC7D9F6" w14:textId="77777777" w:rsidR="00A80291" w:rsidRDefault="00A80291">
      <w:pPr>
        <w:widowControl/>
      </w:pPr>
      <w:r>
        <w:br w:type="page"/>
      </w:r>
    </w:p>
    <w:p w14:paraId="6FB8AB83" w14:textId="2874C685" w:rsidR="0053464E" w:rsidRDefault="0053464E" w:rsidP="003C5677"/>
    <w:p w14:paraId="1A98AB4A" w14:textId="77777777" w:rsidR="002A5F8B" w:rsidRPr="000B6AF2" w:rsidRDefault="00F33BB8" w:rsidP="000B6AF2">
      <w:pPr>
        <w:pStyle w:val="Heading1"/>
      </w:pPr>
      <w:bookmarkStart w:id="10" w:name="_Toc300933417"/>
      <w:bookmarkStart w:id="11" w:name="_Toc516642369"/>
      <w:r>
        <w:t>1</w:t>
      </w:r>
      <w:r w:rsidR="001542D8">
        <w:tab/>
      </w:r>
      <w:r w:rsidR="002A5F8B" w:rsidRPr="000B6AF2">
        <w:t>Introduction</w:t>
      </w:r>
      <w:bookmarkEnd w:id="9"/>
      <w:bookmarkEnd w:id="10"/>
      <w:bookmarkEnd w:id="11"/>
    </w:p>
    <w:p w14:paraId="6DF00288" w14:textId="3E6EF42A" w:rsidR="0053464E" w:rsidRPr="0053464E" w:rsidRDefault="00F33BB8" w:rsidP="00A56E34">
      <w:pPr>
        <w:pStyle w:val="Heading2"/>
      </w:pPr>
      <w:bookmarkStart w:id="12" w:name="_Toc300761890"/>
      <w:bookmarkStart w:id="13" w:name="_Toc300933419"/>
      <w:bookmarkStart w:id="14" w:name="_Toc516642370"/>
      <w:r>
        <w:t>1</w:t>
      </w:r>
      <w:r w:rsidR="0053464E" w:rsidRPr="0053464E">
        <w:t>.1</w:t>
      </w:r>
      <w:r w:rsidR="0053464E" w:rsidRPr="0053464E">
        <w:tab/>
        <w:t>The Applicant</w:t>
      </w:r>
      <w:bookmarkEnd w:id="12"/>
      <w:bookmarkEnd w:id="13"/>
      <w:bookmarkEnd w:id="14"/>
    </w:p>
    <w:p w14:paraId="2B9E14A4" w14:textId="10D1DA54" w:rsidR="0053464E" w:rsidRPr="00E07772" w:rsidRDefault="00B81E55" w:rsidP="0053464E">
      <w:r>
        <w:t>The a</w:t>
      </w:r>
      <w:r w:rsidR="00E07772" w:rsidRPr="00E07772">
        <w:t>pplicant is Earlee Products Pty Ltd, a manufacturer and supplier of ingredients and food premixes in Australia.</w:t>
      </w:r>
    </w:p>
    <w:p w14:paraId="6A8AAD5E" w14:textId="5133BDDD" w:rsidR="0053464E" w:rsidRPr="0053464E" w:rsidRDefault="00F33BB8" w:rsidP="00A56E34">
      <w:pPr>
        <w:pStyle w:val="Heading2"/>
      </w:pPr>
      <w:bookmarkStart w:id="15" w:name="_Toc300761891"/>
      <w:bookmarkStart w:id="16" w:name="_Toc300933420"/>
      <w:bookmarkStart w:id="17" w:name="_Toc516642371"/>
      <w:r>
        <w:t>1</w:t>
      </w:r>
      <w:r w:rsidR="0053464E" w:rsidRPr="0053464E">
        <w:t>.2</w:t>
      </w:r>
      <w:r w:rsidR="0053464E" w:rsidRPr="0053464E">
        <w:tab/>
        <w:t xml:space="preserve">The </w:t>
      </w:r>
      <w:r w:rsidR="0053464E" w:rsidRPr="009F6F73">
        <w:t>Application</w:t>
      </w:r>
      <w:bookmarkEnd w:id="15"/>
      <w:bookmarkEnd w:id="16"/>
      <w:bookmarkEnd w:id="17"/>
    </w:p>
    <w:p w14:paraId="55B7AACD" w14:textId="105BC7A8" w:rsidR="000C4173" w:rsidRPr="00E83B6E" w:rsidRDefault="00B81E55" w:rsidP="0053464E">
      <w:r>
        <w:t>The purpose of the a</w:t>
      </w:r>
      <w:r w:rsidR="00E07772" w:rsidRPr="009F6F73">
        <w:t xml:space="preserve">pplication is to seek permission for polyoxyethylene (20) sorbitan monolaurate (common name polysorbate 20) as a new emulsifier food additive, for use in processed </w:t>
      </w:r>
      <w:r w:rsidR="00B23B4F">
        <w:t>meat products and processed fish and fish products</w:t>
      </w:r>
      <w:r w:rsidR="00E07772" w:rsidRPr="009F6F73">
        <w:t xml:space="preserve">. </w:t>
      </w:r>
      <w:r>
        <w:t>Specifically the a</w:t>
      </w:r>
      <w:r w:rsidR="00953FD6">
        <w:t xml:space="preserve">pplicant proposes </w:t>
      </w:r>
      <w:r w:rsidR="002E553C">
        <w:t>using</w:t>
      </w:r>
      <w:r w:rsidR="00953FD6">
        <w:t xml:space="preserve"> polysorbate 20 in processed raw and whole, comminuted meat, poultry and game products (including but not exclusively goat, kangaroo, buffalo, emu, crocodile, wild boar</w:t>
      </w:r>
      <w:r w:rsidR="000C4173">
        <w:t xml:space="preserve"> and</w:t>
      </w:r>
      <w:r w:rsidR="00953FD6">
        <w:t xml:space="preserve"> pheasant) </w:t>
      </w:r>
      <w:r w:rsidR="000C4173">
        <w:t xml:space="preserve">and processed fish and fish products. </w:t>
      </w:r>
      <w:r>
        <w:t>The a</w:t>
      </w:r>
      <w:r w:rsidR="00E83B6E">
        <w:t xml:space="preserve">pplicant intends to use the food additive </w:t>
      </w:r>
      <w:r w:rsidR="00E83B6E" w:rsidRPr="00E83B6E">
        <w:t xml:space="preserve">to </w:t>
      </w:r>
      <w:r w:rsidR="00B40554" w:rsidRPr="00E83B6E">
        <w:rPr>
          <w:lang w:bidi="ar-SA"/>
        </w:rPr>
        <w:t>ensure improved surface wetting properties of the surfaces to be treated with antimicrobial agents to reduce microbial load on the products.</w:t>
      </w:r>
    </w:p>
    <w:p w14:paraId="30D8C9FF" w14:textId="77777777" w:rsidR="000C4173" w:rsidRDefault="000C4173" w:rsidP="0053464E"/>
    <w:p w14:paraId="6529EE86" w14:textId="02206BEB" w:rsidR="0053464E" w:rsidRDefault="00BE0A90" w:rsidP="0053464E">
      <w:r>
        <w:t>The food additive has</w:t>
      </w:r>
      <w:r w:rsidRPr="009F6F73">
        <w:t xml:space="preserve"> the </w:t>
      </w:r>
      <w:r>
        <w:t xml:space="preserve">Codex Alimentarius </w:t>
      </w:r>
      <w:r w:rsidRPr="009F6F73">
        <w:t xml:space="preserve">International Numbering System (INS) </w:t>
      </w:r>
      <w:r>
        <w:t xml:space="preserve">for food additives </w:t>
      </w:r>
      <w:r w:rsidR="00B23B4F">
        <w:t xml:space="preserve">of </w:t>
      </w:r>
      <w:r w:rsidRPr="009F6F73">
        <w:t>number 432</w:t>
      </w:r>
      <w:r>
        <w:t>.</w:t>
      </w:r>
      <w:r w:rsidRPr="009F6F73">
        <w:t xml:space="preserve"> </w:t>
      </w:r>
      <w:r w:rsidR="009F6F73">
        <w:t xml:space="preserve">Unless otherwise </w:t>
      </w:r>
      <w:r w:rsidR="001526C3">
        <w:t>note</w:t>
      </w:r>
      <w:r w:rsidR="009F6F73">
        <w:t xml:space="preserve">d the common name of polysorbate 20 will be used throughout the report. </w:t>
      </w:r>
    </w:p>
    <w:p w14:paraId="0152D60B" w14:textId="1EA414A5" w:rsidR="009D0943" w:rsidRDefault="009D0943" w:rsidP="0053464E"/>
    <w:p w14:paraId="1F691DAC" w14:textId="473AD154" w:rsidR="009D0943" w:rsidRPr="009F6F73" w:rsidRDefault="009D0943" w:rsidP="0053464E">
      <w:r>
        <w:t>There are a number of similar substances which are considered</w:t>
      </w:r>
      <w:r w:rsidR="00A8246B">
        <w:t xml:space="preserve"> </w:t>
      </w:r>
      <w:r w:rsidR="00DD0FAA">
        <w:t xml:space="preserve">part of </w:t>
      </w:r>
      <w:r w:rsidR="00D54146">
        <w:t xml:space="preserve">the </w:t>
      </w:r>
      <w:r w:rsidR="00A8246B">
        <w:t>p</w:t>
      </w:r>
      <w:r>
        <w:t>olysorbate</w:t>
      </w:r>
      <w:r w:rsidR="00D54146">
        <w:t xml:space="preserve"> </w:t>
      </w:r>
      <w:r w:rsidR="00DD0FAA">
        <w:t>group</w:t>
      </w:r>
      <w:r w:rsidR="00D54146">
        <w:t xml:space="preserve"> of food additives</w:t>
      </w:r>
      <w:r w:rsidR="00A8246B">
        <w:t xml:space="preserve">. This </w:t>
      </w:r>
      <w:r w:rsidR="00DD0FAA">
        <w:t xml:space="preserve">group </w:t>
      </w:r>
      <w:r w:rsidR="00A8246B">
        <w:t>of polysorbates are considered together for the purposes of risk assessment; i.e</w:t>
      </w:r>
      <w:r w:rsidR="00284465">
        <w:t>.</w:t>
      </w:r>
      <w:r w:rsidR="00A8246B">
        <w:t xml:space="preserve"> the Joint FAO/WHO Expert Committee on Food Additives (JECFA) and European Food Safety Authority (EFSA) derived a group Acceptable </w:t>
      </w:r>
      <w:r w:rsidR="00D54146">
        <w:t>D</w:t>
      </w:r>
      <w:r w:rsidR="00A8246B">
        <w:t xml:space="preserve">aily Intake (ADI) for the polysorbates. Section 2.1 of the Supporting </w:t>
      </w:r>
      <w:r w:rsidR="00D54146">
        <w:t>D</w:t>
      </w:r>
      <w:r w:rsidR="00A8246B">
        <w:t>ocument 1 (SD1) lists the common names, detailed name</w:t>
      </w:r>
      <w:r w:rsidR="00A246AC">
        <w:t>s</w:t>
      </w:r>
      <w:r w:rsidR="00A8246B">
        <w:t xml:space="preserve"> and INS numbers of the five substances that make up the </w:t>
      </w:r>
      <w:r w:rsidR="00DD0FAA">
        <w:t xml:space="preserve">group of </w:t>
      </w:r>
      <w:r w:rsidR="00A8246B">
        <w:t>polysorbate</w:t>
      </w:r>
      <w:r w:rsidR="00DD0FAA">
        <w:t>s</w:t>
      </w:r>
      <w:r w:rsidR="00A8246B">
        <w:t xml:space="preserve">. </w:t>
      </w:r>
      <w:r w:rsidR="00EB4ACB">
        <w:t xml:space="preserve">This table is not repeated here but the list is polysorbate 20, 40, 60, 65 and 80. </w:t>
      </w:r>
    </w:p>
    <w:p w14:paraId="671FA0BD" w14:textId="32CBA9A5" w:rsidR="00F71ABC" w:rsidRDefault="00F33BB8">
      <w:pPr>
        <w:pStyle w:val="Heading2"/>
      </w:pPr>
      <w:bookmarkStart w:id="18" w:name="_Toc300761892"/>
      <w:bookmarkStart w:id="19" w:name="_Toc300933421"/>
      <w:bookmarkStart w:id="20" w:name="_Toc516642372"/>
      <w:r>
        <w:t>1</w:t>
      </w:r>
      <w:r w:rsidR="00A56E34">
        <w:t>.3</w:t>
      </w:r>
      <w:r w:rsidR="00A56E34">
        <w:tab/>
        <w:t>The c</w:t>
      </w:r>
      <w:r w:rsidR="0053464E" w:rsidRPr="0053464E">
        <w:t xml:space="preserve">urrent </w:t>
      </w:r>
      <w:r w:rsidR="00E72650">
        <w:t>s</w:t>
      </w:r>
      <w:r w:rsidR="0053464E" w:rsidRPr="0053464E">
        <w:t>tandard</w:t>
      </w:r>
      <w:bookmarkEnd w:id="18"/>
      <w:bookmarkEnd w:id="19"/>
      <w:r w:rsidR="00F71ABC">
        <w:t>s</w:t>
      </w:r>
      <w:bookmarkEnd w:id="20"/>
    </w:p>
    <w:p w14:paraId="5AB2AD5B" w14:textId="1F9683C0" w:rsidR="00F71ABC" w:rsidRDefault="00F71ABC" w:rsidP="00F71ABC">
      <w:r>
        <w:t xml:space="preserve">Australian and New Zealand food laws require food for sale to comply with the following </w:t>
      </w:r>
      <w:r w:rsidR="00F513A7">
        <w:t xml:space="preserve">Australia New Zealand Food Standards Code (the </w:t>
      </w:r>
      <w:r>
        <w:t>Code</w:t>
      </w:r>
      <w:r w:rsidR="00F513A7">
        <w:t>)</w:t>
      </w:r>
      <w:r>
        <w:t xml:space="preserve"> requirements.</w:t>
      </w:r>
    </w:p>
    <w:p w14:paraId="11E303A4" w14:textId="77777777" w:rsidR="00F71ABC" w:rsidRDefault="00F71ABC" w:rsidP="00E73040">
      <w:pPr>
        <w:rPr>
          <w:i/>
        </w:rPr>
      </w:pPr>
    </w:p>
    <w:p w14:paraId="13FECB30" w14:textId="288BAFC6" w:rsidR="002B1C9E" w:rsidRPr="002B1C9E" w:rsidRDefault="002B1C9E" w:rsidP="00E73040">
      <w:pPr>
        <w:rPr>
          <w:i/>
        </w:rPr>
      </w:pPr>
      <w:r w:rsidRPr="002B1C9E">
        <w:rPr>
          <w:i/>
        </w:rPr>
        <w:t>Permitted use</w:t>
      </w:r>
    </w:p>
    <w:p w14:paraId="63AC46C0" w14:textId="78EA3392" w:rsidR="00F71ABC" w:rsidRDefault="00F71ABC" w:rsidP="00E73040"/>
    <w:p w14:paraId="62C200D6" w14:textId="39894F19" w:rsidR="00E73040" w:rsidRDefault="00A64625" w:rsidP="00E73040">
      <w:r>
        <w:t>Paragraph 1.1.1—10</w:t>
      </w:r>
      <w:r w:rsidR="00E73040">
        <w:t>(6)(a) of the Code provides that food for sale cannot contain, as an ingredient or component,</w:t>
      </w:r>
      <w:r w:rsidR="00E73040" w:rsidRPr="00C45493">
        <w:t xml:space="preserve"> </w:t>
      </w:r>
      <w:r w:rsidR="00E73040">
        <w:t>a substance ‘used as a food additive’ unless that substance’s use as a food additive is expressly permitted by the Code.</w:t>
      </w:r>
    </w:p>
    <w:p w14:paraId="0D1EDE6A" w14:textId="2D2072C5" w:rsidR="00E73040" w:rsidRDefault="00E73040" w:rsidP="00E73040"/>
    <w:p w14:paraId="6AF131DB" w14:textId="0A0DEC11" w:rsidR="002B1C9E" w:rsidRDefault="002B1C9E" w:rsidP="002B1C9E">
      <w:r>
        <w:t>Section 1.3.1—3 details which substances are permitted to be used as a food additive for the purposes of the Code. The permitted food additives for different food categories are listed in the table to section S15—5 of the Code.</w:t>
      </w:r>
    </w:p>
    <w:p w14:paraId="3F08AA99" w14:textId="77777777" w:rsidR="002B1C9E" w:rsidRDefault="002B1C9E" w:rsidP="00E73040"/>
    <w:p w14:paraId="50DFAAD6" w14:textId="37273B8B" w:rsidR="00E73040" w:rsidRDefault="00E73040" w:rsidP="00E73040">
      <w:r>
        <w:t xml:space="preserve">Section </w:t>
      </w:r>
      <w:r w:rsidRPr="001526C3">
        <w:t>1.1.2—11</w:t>
      </w:r>
      <w:r>
        <w:t xml:space="preserve"> </w:t>
      </w:r>
      <w:r w:rsidR="002B1C9E">
        <w:t xml:space="preserve">also </w:t>
      </w:r>
      <w:r>
        <w:t xml:space="preserve">provides that a substance is ‘used as a food additive’ if it is added to </w:t>
      </w:r>
      <w:r w:rsidR="00A64625">
        <w:t>a</w:t>
      </w:r>
      <w:r>
        <w:t xml:space="preserve"> food to perform one or more technological functions listed in Schedule 14 of the Code and is one of the following: a substance identified </w:t>
      </w:r>
      <w:r w:rsidR="002B1C9E">
        <w:t>in the table to section S15—5 as permitted food additive</w:t>
      </w:r>
      <w:r>
        <w:t xml:space="preserve">; a substance identified in section </w:t>
      </w:r>
      <w:r w:rsidR="00475E1C">
        <w:t>S</w:t>
      </w:r>
      <w:r>
        <w:t>16—2 as an additive permitted at GMP</w:t>
      </w:r>
      <w:r w:rsidR="004A35B6" w:rsidRPr="004A35B6">
        <w:t xml:space="preserve"> </w:t>
      </w:r>
      <w:r w:rsidR="004A35B6">
        <w:t>(Good Manufacturing Practice)</w:t>
      </w:r>
      <w:r>
        <w:t xml:space="preserve">; a substance identified in section </w:t>
      </w:r>
      <w:r w:rsidR="00475E1C">
        <w:t>S</w:t>
      </w:r>
      <w:r>
        <w:t xml:space="preserve">16—3 as an a colouring permitted at GMP; a substance identified in section </w:t>
      </w:r>
      <w:r w:rsidR="00475E1C">
        <w:t>S</w:t>
      </w:r>
      <w:r>
        <w:t>16—4 as an a colouring permitted at a maximum level; or a prescribed non-traditional food.</w:t>
      </w:r>
    </w:p>
    <w:p w14:paraId="3B1D9585" w14:textId="6FACAC5C" w:rsidR="00E73040" w:rsidRDefault="00E73040" w:rsidP="00E73040"/>
    <w:p w14:paraId="700721EB" w14:textId="0B767C0D" w:rsidR="002B1C9E" w:rsidRDefault="002B1C9E" w:rsidP="002B1C9E">
      <w:r>
        <w:t xml:space="preserve">Schedule 14 lists the permitted </w:t>
      </w:r>
      <w:r w:rsidRPr="001526C3">
        <w:t>technological purposes of food additives</w:t>
      </w:r>
      <w:r>
        <w:t xml:space="preserve">. The </w:t>
      </w:r>
      <w:r w:rsidRPr="001526C3">
        <w:t xml:space="preserve">table in section </w:t>
      </w:r>
      <w:r w:rsidRPr="001526C3">
        <w:lastRenderedPageBreak/>
        <w:t>S14—2</w:t>
      </w:r>
      <w:r>
        <w:t xml:space="preserve"> </w:t>
      </w:r>
      <w:r w:rsidR="00A64625">
        <w:t>of</w:t>
      </w:r>
      <w:r>
        <w:t xml:space="preserve"> that Schedule provides that use as an emulsifier is a permitted purpose.</w:t>
      </w:r>
    </w:p>
    <w:p w14:paraId="22A26C21" w14:textId="77777777" w:rsidR="002B1C9E" w:rsidRDefault="002B1C9E" w:rsidP="0053464E">
      <w:r w:rsidRPr="001526C3" w:rsidDel="00E73040">
        <w:t xml:space="preserve"> </w:t>
      </w:r>
    </w:p>
    <w:p w14:paraId="4DEFB14D" w14:textId="77777777" w:rsidR="002B1C9E" w:rsidRDefault="002B1C9E" w:rsidP="0053464E">
      <w:r>
        <w:t>Schedules 15 and 16 list the specific f</w:t>
      </w:r>
      <w:r w:rsidR="00ED07CF" w:rsidRPr="001526C3">
        <w:t>ood additive permissions for different categories</w:t>
      </w:r>
      <w:r>
        <w:t xml:space="preserve"> of food products</w:t>
      </w:r>
      <w:r w:rsidR="00ED07CF" w:rsidRPr="001526C3">
        <w:t xml:space="preserve">. </w:t>
      </w:r>
    </w:p>
    <w:p w14:paraId="7BC26B00" w14:textId="6438CCE9" w:rsidR="00A64625" w:rsidRDefault="00A64625" w:rsidP="0053464E"/>
    <w:p w14:paraId="2E0FE3B2" w14:textId="091E4203" w:rsidR="00F71ABC" w:rsidRDefault="00F71ABC" w:rsidP="00F71ABC">
      <w:r>
        <w:t>The Code currently permits the use of three polysorbate substances</w:t>
      </w:r>
      <w:r w:rsidR="009E6B7C">
        <w:t xml:space="preserve"> as food additives: </w:t>
      </w:r>
      <w:r>
        <w:t xml:space="preserve">polysorbate 80 (INS 433), polysorbate 60 (INS 435) and polysorbate 65 (INS 436). They are listed in the table to section S16—2 as food additives permitted at GMP and so are permitted in a wide range of food categories as provided within the table to section S15—5. </w:t>
      </w:r>
    </w:p>
    <w:p w14:paraId="7714ECC4" w14:textId="77777777" w:rsidR="00F71ABC" w:rsidRDefault="00F71ABC" w:rsidP="0053464E"/>
    <w:p w14:paraId="721A0246" w14:textId="3CF999B2" w:rsidR="00A64625" w:rsidRDefault="00A64625" w:rsidP="0053464E">
      <w:r>
        <w:t xml:space="preserve">Polysorbate 20 </w:t>
      </w:r>
      <w:r w:rsidR="00F71ABC">
        <w:t xml:space="preserve">and polysorbate 40 are </w:t>
      </w:r>
      <w:r>
        <w:t>not currently permitted to be added to food as a food additive.</w:t>
      </w:r>
    </w:p>
    <w:p w14:paraId="6608CA1A" w14:textId="77777777" w:rsidR="002B1C9E" w:rsidRDefault="002B1C9E" w:rsidP="0053464E"/>
    <w:p w14:paraId="3576F67A" w14:textId="1F89016F" w:rsidR="002B1C9E" w:rsidRPr="002B1C9E" w:rsidRDefault="002B1C9E" w:rsidP="0053464E">
      <w:pPr>
        <w:rPr>
          <w:i/>
        </w:rPr>
      </w:pPr>
      <w:r w:rsidRPr="002B1C9E">
        <w:rPr>
          <w:i/>
        </w:rPr>
        <w:t>Labelling</w:t>
      </w:r>
    </w:p>
    <w:p w14:paraId="49A0989F" w14:textId="23BA06D5" w:rsidR="001C5DCB" w:rsidRDefault="001C5DCB" w:rsidP="0053464E"/>
    <w:p w14:paraId="4511EB29" w14:textId="6BEEEE64" w:rsidR="00A64625" w:rsidRDefault="00A64625" w:rsidP="00A64625">
      <w:r>
        <w:t>Paragraph 1.1.1—10(8) of the Code provides that food for sale must comply with all relevant labelling requirements imposed by the Code for that food.</w:t>
      </w:r>
    </w:p>
    <w:p w14:paraId="483C7574" w14:textId="243EC308" w:rsidR="00A64625" w:rsidRDefault="00A64625" w:rsidP="00A64625"/>
    <w:p w14:paraId="16CCCA1F" w14:textId="0248B468" w:rsidR="00A64625" w:rsidRDefault="00A64625" w:rsidP="00A64625">
      <w:r>
        <w:t xml:space="preserve">Standard 1.2.4 of the Code generally requires food products to be labelled with a statement of ingredients. Subsection 1.2.4—7(1) </w:t>
      </w:r>
      <w:r w:rsidR="00494CD4">
        <w:t xml:space="preserve">of that Standard </w:t>
      </w:r>
      <w:r>
        <w:t>requires food additives to be declared in the statement of ingredients.</w:t>
      </w:r>
    </w:p>
    <w:p w14:paraId="4FBC3D81" w14:textId="60708B9C" w:rsidR="00A64625" w:rsidRDefault="00A64625" w:rsidP="0053464E"/>
    <w:p w14:paraId="0CF49349" w14:textId="53542111" w:rsidR="002B1C9E" w:rsidRDefault="001C5DCB" w:rsidP="0053464E">
      <w:r>
        <w:t xml:space="preserve">Schedule 8 (for statement of ingredients) lists the names and code numbers of food additives that are </w:t>
      </w:r>
      <w:r w:rsidR="00A64625">
        <w:t xml:space="preserve">to be </w:t>
      </w:r>
      <w:r>
        <w:t xml:space="preserve">used for labelling purposes. </w:t>
      </w:r>
    </w:p>
    <w:p w14:paraId="06711845" w14:textId="77777777" w:rsidR="002B1C9E" w:rsidRDefault="002B1C9E" w:rsidP="0053464E"/>
    <w:p w14:paraId="32A4E642" w14:textId="7B382241" w:rsidR="001C5DCB" w:rsidRDefault="001C5DCB" w:rsidP="0053464E">
      <w:r>
        <w:t>S</w:t>
      </w:r>
      <w:r w:rsidR="00A64625">
        <w:t xml:space="preserve">chedule 8 does not refer to </w:t>
      </w:r>
      <w:r>
        <w:t xml:space="preserve">polysorbate 20 </w:t>
      </w:r>
      <w:r w:rsidR="00A64625">
        <w:t xml:space="preserve">as </w:t>
      </w:r>
      <w:r w:rsidR="00EF13F2">
        <w:t>this substance</w:t>
      </w:r>
      <w:r w:rsidR="00F71ABC">
        <w:t xml:space="preserve"> </w:t>
      </w:r>
      <w:r w:rsidR="00EF13F2">
        <w:t>is</w:t>
      </w:r>
      <w:r w:rsidR="00A64625">
        <w:t xml:space="preserve"> </w:t>
      </w:r>
      <w:r>
        <w:t>not currently permitted to be added to food as a food additive.</w:t>
      </w:r>
    </w:p>
    <w:p w14:paraId="6527F5FB" w14:textId="77777777" w:rsidR="001526C3" w:rsidRDefault="001526C3" w:rsidP="0053464E"/>
    <w:p w14:paraId="7C4B90B3" w14:textId="24604AC0" w:rsidR="002B1C9E" w:rsidRPr="002B1C9E" w:rsidRDefault="002B1C9E" w:rsidP="0053464E">
      <w:pPr>
        <w:rPr>
          <w:i/>
        </w:rPr>
      </w:pPr>
      <w:r w:rsidRPr="002B1C9E">
        <w:rPr>
          <w:i/>
        </w:rPr>
        <w:t>Identity and purity requirements</w:t>
      </w:r>
    </w:p>
    <w:p w14:paraId="59A547BF" w14:textId="77777777" w:rsidR="002B1C9E" w:rsidRDefault="002B1C9E" w:rsidP="0053464E"/>
    <w:p w14:paraId="230823F3" w14:textId="19DE7FBB" w:rsidR="00F71ABC" w:rsidRDefault="00F71ABC" w:rsidP="0053464E">
      <w:r>
        <w:t xml:space="preserve">Paragraph 1.1.1—15(1)(a) of the Code requires substances used as food additives to comply with any relevant identity and purity specifications listed in Schedule 3 of the Code. </w:t>
      </w:r>
    </w:p>
    <w:p w14:paraId="223D9A81" w14:textId="3A26B38C" w:rsidR="001526C3" w:rsidRDefault="001526C3" w:rsidP="000073DA">
      <w:pPr>
        <w:pStyle w:val="Heading3"/>
      </w:pPr>
      <w:bookmarkStart w:id="21" w:name="_Toc516642373"/>
      <w:r>
        <w:t>1.3.1</w:t>
      </w:r>
      <w:r>
        <w:tab/>
        <w:t>International standards</w:t>
      </w:r>
      <w:bookmarkEnd w:id="21"/>
    </w:p>
    <w:p w14:paraId="145A21CE" w14:textId="1325CDFF" w:rsidR="00F71ABC" w:rsidRDefault="00F71ABC" w:rsidP="001526C3">
      <w:pPr>
        <w:rPr>
          <w:lang w:eastAsia="en-AU" w:bidi="ar-SA"/>
        </w:rPr>
      </w:pPr>
      <w:r>
        <w:rPr>
          <w:lang w:eastAsia="en-AU" w:bidi="ar-SA"/>
        </w:rPr>
        <w:t xml:space="preserve">The international and national permissions for </w:t>
      </w:r>
      <w:r w:rsidR="009E6B7C">
        <w:rPr>
          <w:lang w:eastAsia="en-AU" w:bidi="ar-SA"/>
        </w:rPr>
        <w:t xml:space="preserve">the </w:t>
      </w:r>
      <w:r>
        <w:rPr>
          <w:lang w:eastAsia="en-AU" w:bidi="ar-SA"/>
        </w:rPr>
        <w:t xml:space="preserve">use of </w:t>
      </w:r>
      <w:r w:rsidR="00644206">
        <w:rPr>
          <w:lang w:eastAsia="en-AU" w:bidi="ar-SA"/>
        </w:rPr>
        <w:t>p</w:t>
      </w:r>
      <w:r>
        <w:rPr>
          <w:lang w:eastAsia="en-AU" w:bidi="ar-SA"/>
        </w:rPr>
        <w:t xml:space="preserve">olysorbate 20 as a food additive that are relevant to this </w:t>
      </w:r>
      <w:r w:rsidR="00644206">
        <w:rPr>
          <w:lang w:eastAsia="en-AU" w:bidi="ar-SA"/>
        </w:rPr>
        <w:t>a</w:t>
      </w:r>
      <w:r>
        <w:rPr>
          <w:lang w:eastAsia="en-AU" w:bidi="ar-SA"/>
        </w:rPr>
        <w:t>pplication are summarised below.</w:t>
      </w:r>
    </w:p>
    <w:p w14:paraId="02E4C135" w14:textId="4F88ABC4" w:rsidR="00CD222B" w:rsidRDefault="000073DA" w:rsidP="000073DA">
      <w:pPr>
        <w:pStyle w:val="Heading4"/>
        <w:rPr>
          <w:lang w:eastAsia="en-AU"/>
        </w:rPr>
      </w:pPr>
      <w:r>
        <w:rPr>
          <w:lang w:eastAsia="en-AU"/>
        </w:rPr>
        <w:t>1.3.1.1</w:t>
      </w:r>
      <w:r>
        <w:rPr>
          <w:lang w:eastAsia="en-AU"/>
        </w:rPr>
        <w:tab/>
        <w:t>Codex Alimentarius</w:t>
      </w:r>
    </w:p>
    <w:p w14:paraId="49325173" w14:textId="36628F59" w:rsidR="000073DA" w:rsidRDefault="000073DA" w:rsidP="000073DA">
      <w:pPr>
        <w:rPr>
          <w:lang w:eastAsia="en-AU" w:bidi="ar-SA"/>
        </w:rPr>
      </w:pPr>
      <w:r>
        <w:rPr>
          <w:lang w:eastAsia="en-AU" w:bidi="ar-SA"/>
        </w:rPr>
        <w:t>The Codex General Standard for Food Additives (CODEX STAN 192-1995, GSFA) contains a large number of provisions for the use of polysorbate 20 (within the provisions for polysorbates) within Table 1. The long list of food categories and the maximum levels is not detailed here but can be located within the GSFA</w:t>
      </w:r>
      <w:r>
        <w:rPr>
          <w:rStyle w:val="FootnoteReference"/>
          <w:lang w:eastAsia="en-AU" w:bidi="ar-SA"/>
        </w:rPr>
        <w:footnoteReference w:id="3"/>
      </w:r>
      <w:r w:rsidR="009B112D">
        <w:rPr>
          <w:lang w:eastAsia="en-AU" w:bidi="ar-SA"/>
        </w:rPr>
        <w:t>.</w:t>
      </w:r>
      <w:r w:rsidR="00F365C6">
        <w:rPr>
          <w:lang w:eastAsia="en-AU" w:bidi="ar-SA"/>
        </w:rPr>
        <w:t xml:space="preserve"> Online searching of the GSFA is also available</w:t>
      </w:r>
      <w:r w:rsidR="00F365C6">
        <w:rPr>
          <w:rStyle w:val="FootnoteReference"/>
          <w:lang w:eastAsia="en-AU" w:bidi="ar-SA"/>
        </w:rPr>
        <w:footnoteReference w:id="4"/>
      </w:r>
      <w:r w:rsidR="00F365C6">
        <w:rPr>
          <w:lang w:eastAsia="en-AU" w:bidi="ar-SA"/>
        </w:rPr>
        <w:t>.</w:t>
      </w:r>
    </w:p>
    <w:p w14:paraId="0868B186" w14:textId="4FAB35D8" w:rsidR="009B112D" w:rsidRDefault="00F365C6" w:rsidP="00F365C6">
      <w:pPr>
        <w:pStyle w:val="Heading4"/>
        <w:rPr>
          <w:lang w:eastAsia="en-AU"/>
        </w:rPr>
      </w:pPr>
      <w:r>
        <w:rPr>
          <w:lang w:eastAsia="en-AU"/>
        </w:rPr>
        <w:t>1.3.1.2</w:t>
      </w:r>
      <w:r>
        <w:rPr>
          <w:lang w:eastAsia="en-AU"/>
        </w:rPr>
        <w:tab/>
        <w:t>European Union</w:t>
      </w:r>
    </w:p>
    <w:p w14:paraId="014F0624" w14:textId="0EF00439" w:rsidR="00F365C6" w:rsidRDefault="0011085C" w:rsidP="00F365C6">
      <w:pPr>
        <w:rPr>
          <w:lang w:eastAsia="en-AU" w:bidi="ar-SA"/>
        </w:rPr>
      </w:pPr>
      <w:r>
        <w:rPr>
          <w:lang w:eastAsia="en-AU" w:bidi="ar-SA"/>
        </w:rPr>
        <w:t>Similar to the GSFA</w:t>
      </w:r>
      <w:r w:rsidR="009E6B7C">
        <w:rPr>
          <w:lang w:eastAsia="en-AU" w:bidi="ar-SA"/>
        </w:rPr>
        <w:t>,</w:t>
      </w:r>
      <w:r>
        <w:rPr>
          <w:lang w:eastAsia="en-AU" w:bidi="ar-SA"/>
        </w:rPr>
        <w:t xml:space="preserve"> the European Union permits polysorbates (including polysorbate 20) in a wide variety of food categories. These permissions are contained in Annex II to Regulation (EC) No 1333/2008</w:t>
      </w:r>
      <w:r>
        <w:rPr>
          <w:rStyle w:val="FootnoteReference"/>
          <w:lang w:eastAsia="en-AU" w:bidi="ar-SA"/>
        </w:rPr>
        <w:footnoteReference w:id="5"/>
      </w:r>
      <w:r>
        <w:rPr>
          <w:lang w:eastAsia="en-AU" w:bidi="ar-SA"/>
        </w:rPr>
        <w:t xml:space="preserve">. </w:t>
      </w:r>
      <w:r w:rsidR="000F10F0">
        <w:rPr>
          <w:lang w:eastAsia="en-AU" w:bidi="ar-SA"/>
        </w:rPr>
        <w:t xml:space="preserve">Food additive permissions can also be searched from an online </w:t>
      </w:r>
      <w:r w:rsidR="000F10F0">
        <w:rPr>
          <w:lang w:eastAsia="en-AU" w:bidi="ar-SA"/>
        </w:rPr>
        <w:lastRenderedPageBreak/>
        <w:t>website</w:t>
      </w:r>
      <w:r w:rsidR="001C6EA8">
        <w:rPr>
          <w:rStyle w:val="FootnoteReference"/>
          <w:lang w:eastAsia="en-AU" w:bidi="ar-SA"/>
        </w:rPr>
        <w:footnoteReference w:id="6"/>
      </w:r>
      <w:r w:rsidR="000F10F0">
        <w:rPr>
          <w:lang w:eastAsia="en-AU" w:bidi="ar-SA"/>
        </w:rPr>
        <w:t>.</w:t>
      </w:r>
      <w:r w:rsidR="001C6EA8">
        <w:rPr>
          <w:lang w:eastAsia="en-AU" w:bidi="ar-SA"/>
        </w:rPr>
        <w:t xml:space="preserve"> A summarised list of polysorbate permissions for food categories is </w:t>
      </w:r>
      <w:r w:rsidR="00791EA9">
        <w:rPr>
          <w:lang w:eastAsia="en-AU" w:bidi="ar-SA"/>
        </w:rPr>
        <w:t xml:space="preserve">also </w:t>
      </w:r>
      <w:r w:rsidR="001C6EA8">
        <w:rPr>
          <w:lang w:eastAsia="en-AU" w:bidi="ar-SA"/>
        </w:rPr>
        <w:t xml:space="preserve">provided in Table 7 of the 2015 EFSA </w:t>
      </w:r>
      <w:r w:rsidR="00D54146">
        <w:rPr>
          <w:lang w:eastAsia="en-AU" w:bidi="ar-SA"/>
        </w:rPr>
        <w:t>s</w:t>
      </w:r>
      <w:r w:rsidR="001C6EA8">
        <w:rPr>
          <w:lang w:eastAsia="en-AU" w:bidi="ar-SA"/>
        </w:rPr>
        <w:t>cientific opinion on the re-evaluation of polysorbates</w:t>
      </w:r>
      <w:r w:rsidR="001C6EA8">
        <w:rPr>
          <w:rStyle w:val="FootnoteReference"/>
          <w:lang w:eastAsia="en-AU" w:bidi="ar-SA"/>
        </w:rPr>
        <w:footnoteReference w:id="7"/>
      </w:r>
      <w:r w:rsidR="001C6EA8">
        <w:rPr>
          <w:lang w:eastAsia="en-AU" w:bidi="ar-SA"/>
        </w:rPr>
        <w:t>.</w:t>
      </w:r>
    </w:p>
    <w:p w14:paraId="074F439C" w14:textId="66AB30B6" w:rsidR="001C6EA8" w:rsidRDefault="00963103" w:rsidP="00963103">
      <w:pPr>
        <w:pStyle w:val="Heading4"/>
        <w:rPr>
          <w:lang w:eastAsia="en-AU"/>
        </w:rPr>
      </w:pPr>
      <w:r>
        <w:rPr>
          <w:lang w:eastAsia="en-AU"/>
        </w:rPr>
        <w:t>1.3.1.3</w:t>
      </w:r>
      <w:r>
        <w:rPr>
          <w:lang w:eastAsia="en-AU"/>
        </w:rPr>
        <w:tab/>
      </w:r>
      <w:r w:rsidR="00791EA9">
        <w:rPr>
          <w:lang w:eastAsia="en-AU"/>
        </w:rPr>
        <w:t>United States of America</w:t>
      </w:r>
    </w:p>
    <w:p w14:paraId="08A80D9A" w14:textId="2FF65ECC" w:rsidR="00963103" w:rsidRDefault="00963103" w:rsidP="00F365C6">
      <w:pPr>
        <w:rPr>
          <w:lang w:eastAsia="en-AU" w:bidi="ar-SA"/>
        </w:rPr>
      </w:pPr>
      <w:r>
        <w:rPr>
          <w:lang w:eastAsia="en-AU" w:bidi="ar-SA"/>
        </w:rPr>
        <w:t xml:space="preserve">Polysorbate permissions for use as </w:t>
      </w:r>
      <w:r w:rsidR="008E574F">
        <w:rPr>
          <w:lang w:eastAsia="en-AU" w:bidi="ar-SA"/>
        </w:rPr>
        <w:t xml:space="preserve">indirect </w:t>
      </w:r>
      <w:r>
        <w:rPr>
          <w:lang w:eastAsia="en-AU" w:bidi="ar-SA"/>
        </w:rPr>
        <w:t>food additives</w:t>
      </w:r>
      <w:r w:rsidR="008E574F">
        <w:rPr>
          <w:lang w:eastAsia="en-AU" w:bidi="ar-SA"/>
        </w:rPr>
        <w:t xml:space="preserve"> (adjuvants, production aids, and sanitizers)</w:t>
      </w:r>
      <w:r>
        <w:rPr>
          <w:lang w:eastAsia="en-AU" w:bidi="ar-SA"/>
        </w:rPr>
        <w:t xml:space="preserve"> with the technological purpose as emulsifiers and/or surface-active agents in the United States is provided within the US Code of Federal Regulations (CFR)</w:t>
      </w:r>
      <w:r w:rsidR="00FB442C" w:rsidRPr="00FB442C">
        <w:rPr>
          <w:rStyle w:val="FootnoteReference"/>
          <w:lang w:eastAsia="en-AU" w:bidi="ar-SA"/>
        </w:rPr>
        <w:t xml:space="preserve"> </w:t>
      </w:r>
      <w:r w:rsidR="00FB442C">
        <w:rPr>
          <w:rStyle w:val="FootnoteReference"/>
          <w:lang w:eastAsia="en-AU" w:bidi="ar-SA"/>
        </w:rPr>
        <w:footnoteReference w:id="8"/>
      </w:r>
      <w:r>
        <w:rPr>
          <w:lang w:eastAsia="en-AU" w:bidi="ar-SA"/>
        </w:rPr>
        <w:t xml:space="preserve"> section 178.3400</w:t>
      </w:r>
      <w:r w:rsidR="00FB442C">
        <w:rPr>
          <w:rStyle w:val="FootnoteReference"/>
          <w:lang w:eastAsia="en-AU" w:bidi="ar-SA"/>
        </w:rPr>
        <w:footnoteReference w:id="9"/>
      </w:r>
      <w:r>
        <w:rPr>
          <w:lang w:eastAsia="en-AU" w:bidi="ar-SA"/>
        </w:rPr>
        <w:t>.</w:t>
      </w:r>
      <w:r w:rsidR="008E574F">
        <w:rPr>
          <w:lang w:eastAsia="en-AU" w:bidi="ar-SA"/>
        </w:rPr>
        <w:t xml:space="preserve"> Polysorbates 60, 65 and 80 are </w:t>
      </w:r>
      <w:r w:rsidR="00A246AC">
        <w:rPr>
          <w:lang w:eastAsia="en-AU" w:bidi="ar-SA"/>
        </w:rPr>
        <w:t xml:space="preserve">also </w:t>
      </w:r>
      <w:r w:rsidR="008E574F">
        <w:rPr>
          <w:lang w:eastAsia="en-AU" w:bidi="ar-SA"/>
        </w:rPr>
        <w:t>permitted in the CFR as food additives for direct addition to food for human consumption, but polysorbate 20 is not.</w:t>
      </w:r>
    </w:p>
    <w:p w14:paraId="4C8CFF34" w14:textId="6FD1A670" w:rsidR="003843BC" w:rsidRDefault="003843BC" w:rsidP="00F365C6">
      <w:pPr>
        <w:rPr>
          <w:lang w:eastAsia="en-AU" w:bidi="ar-SA"/>
        </w:rPr>
      </w:pPr>
    </w:p>
    <w:p w14:paraId="2BA83A4F" w14:textId="43FC66DD" w:rsidR="003843BC" w:rsidRDefault="003843BC" w:rsidP="00F365C6">
      <w:pPr>
        <w:rPr>
          <w:lang w:eastAsia="en-AU" w:bidi="ar-SA"/>
        </w:rPr>
      </w:pPr>
      <w:r>
        <w:rPr>
          <w:lang w:eastAsia="en-AU" w:bidi="ar-SA"/>
        </w:rPr>
        <w:t>Polysorbate 20 is also permitted as a flavouring adjuvant</w:t>
      </w:r>
      <w:r w:rsidR="00AC765E">
        <w:rPr>
          <w:rStyle w:val="FootnoteReference"/>
          <w:lang w:eastAsia="en-AU" w:bidi="ar-SA"/>
        </w:rPr>
        <w:footnoteReference w:id="10"/>
      </w:r>
      <w:r>
        <w:rPr>
          <w:lang w:eastAsia="en-AU" w:bidi="ar-SA"/>
        </w:rPr>
        <w:t xml:space="preserve"> due to section 172.5</w:t>
      </w:r>
      <w:r w:rsidR="00AC765E">
        <w:rPr>
          <w:lang w:eastAsia="en-AU" w:bidi="ar-SA"/>
        </w:rPr>
        <w:t>15</w:t>
      </w:r>
      <w:r>
        <w:rPr>
          <w:lang w:eastAsia="en-AU" w:bidi="ar-SA"/>
        </w:rPr>
        <w:t xml:space="preserve"> (Synthetic flavoring substances and adjuvants) of the CFR</w:t>
      </w:r>
      <w:r>
        <w:rPr>
          <w:rStyle w:val="FootnoteReference"/>
          <w:lang w:eastAsia="en-AU" w:bidi="ar-SA"/>
        </w:rPr>
        <w:footnoteReference w:id="11"/>
      </w:r>
      <w:r>
        <w:rPr>
          <w:lang w:eastAsia="en-AU" w:bidi="ar-SA"/>
        </w:rPr>
        <w:t xml:space="preserve">. </w:t>
      </w:r>
      <w:r w:rsidR="005B4E0E">
        <w:rPr>
          <w:lang w:eastAsia="en-AU" w:bidi="ar-SA"/>
        </w:rPr>
        <w:t>Polysorbate 60 and 80 are also permitted flavouring adjuvants.</w:t>
      </w:r>
    </w:p>
    <w:p w14:paraId="41927199" w14:textId="2E3FC8E9" w:rsidR="008E574F" w:rsidRDefault="008E574F" w:rsidP="008E574F">
      <w:pPr>
        <w:pStyle w:val="Heading4"/>
        <w:rPr>
          <w:lang w:eastAsia="en-AU"/>
        </w:rPr>
      </w:pPr>
      <w:r>
        <w:rPr>
          <w:lang w:eastAsia="en-AU"/>
        </w:rPr>
        <w:t>1.3.1.4</w:t>
      </w:r>
      <w:r>
        <w:rPr>
          <w:lang w:eastAsia="en-AU"/>
        </w:rPr>
        <w:tab/>
        <w:t>Other country permissions</w:t>
      </w:r>
    </w:p>
    <w:p w14:paraId="12572511" w14:textId="5ABB69A7" w:rsidR="008E574F" w:rsidRPr="00F365C6" w:rsidRDefault="008E574F" w:rsidP="00F365C6">
      <w:pPr>
        <w:rPr>
          <w:lang w:eastAsia="en-AU" w:bidi="ar-SA"/>
        </w:rPr>
      </w:pPr>
      <w:r>
        <w:rPr>
          <w:lang w:eastAsia="en-AU" w:bidi="ar-SA"/>
        </w:rPr>
        <w:t>Polysorbate 20 is permitted as a food additive in Japan</w:t>
      </w:r>
      <w:r w:rsidR="005B4E0E">
        <w:rPr>
          <w:rStyle w:val="FootnoteReference"/>
          <w:lang w:eastAsia="en-AU" w:bidi="ar-SA"/>
        </w:rPr>
        <w:footnoteReference w:id="12"/>
      </w:r>
      <w:r>
        <w:rPr>
          <w:lang w:eastAsia="en-AU" w:bidi="ar-SA"/>
        </w:rPr>
        <w:t xml:space="preserve"> and Singapore</w:t>
      </w:r>
      <w:r w:rsidR="00117477" w:rsidRPr="00791EA9">
        <w:rPr>
          <w:rStyle w:val="FootnoteReference"/>
          <w:lang w:eastAsia="en-AU" w:bidi="ar-SA"/>
        </w:rPr>
        <w:footnoteReference w:id="13"/>
      </w:r>
      <w:r w:rsidRPr="00791EA9">
        <w:rPr>
          <w:color w:val="FF0000"/>
          <w:lang w:eastAsia="en-AU" w:bidi="ar-SA"/>
        </w:rPr>
        <w:t>.</w:t>
      </w:r>
    </w:p>
    <w:p w14:paraId="6DE3C620" w14:textId="6DA9346D" w:rsidR="00AF387F" w:rsidRPr="009F6F73" w:rsidRDefault="00F33BB8" w:rsidP="00D062E4">
      <w:pPr>
        <w:pStyle w:val="Heading2"/>
        <w:rPr>
          <w:u w:color="FFFF00"/>
        </w:rPr>
      </w:pPr>
      <w:bookmarkStart w:id="22" w:name="_Toc286391007"/>
      <w:bookmarkStart w:id="23" w:name="_Toc516642374"/>
      <w:bookmarkStart w:id="24" w:name="_Toc300933423"/>
      <w:bookmarkStart w:id="25" w:name="_Toc175381432"/>
      <w:r w:rsidRPr="009F6F73">
        <w:rPr>
          <w:u w:color="FFFF00"/>
        </w:rPr>
        <w:t>1</w:t>
      </w:r>
      <w:r w:rsidR="00606C88" w:rsidRPr="009F6F73">
        <w:rPr>
          <w:u w:color="FFFF00"/>
        </w:rPr>
        <w:t>.4</w:t>
      </w:r>
      <w:r w:rsidR="001542D8" w:rsidRPr="009F6F73">
        <w:rPr>
          <w:u w:color="FFFF00"/>
        </w:rPr>
        <w:tab/>
      </w:r>
      <w:r w:rsidR="00741EFE" w:rsidRPr="009F6F73">
        <w:rPr>
          <w:u w:color="FFFF00"/>
        </w:rPr>
        <w:t>Reasons for accepting A</w:t>
      </w:r>
      <w:r w:rsidR="00AF387F" w:rsidRPr="009F6F73">
        <w:rPr>
          <w:u w:color="FFFF00"/>
        </w:rPr>
        <w:t>pplication</w:t>
      </w:r>
      <w:bookmarkEnd w:id="22"/>
      <w:bookmarkEnd w:id="23"/>
      <w:r w:rsidR="00180C41" w:rsidRPr="009F6F73">
        <w:rPr>
          <w:u w:color="FFFF00"/>
        </w:rPr>
        <w:t xml:space="preserve"> </w:t>
      </w:r>
      <w:bookmarkEnd w:id="24"/>
    </w:p>
    <w:p w14:paraId="5634AC1D" w14:textId="53AE5563" w:rsidR="00180C41" w:rsidRPr="009F6F73" w:rsidRDefault="00B81E55"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t>The a</w:t>
      </w:r>
      <w:r w:rsidR="00180C41" w:rsidRPr="009F6F73">
        <w:t xml:space="preserve">pplication was accepted for assessment </w:t>
      </w:r>
      <w:r w:rsidR="00741EFE" w:rsidRPr="009F6F73">
        <w:t>because</w:t>
      </w:r>
      <w:r w:rsidR="00180C41" w:rsidRPr="009F6F73">
        <w:t>:</w:t>
      </w:r>
    </w:p>
    <w:p w14:paraId="3DBBC35B" w14:textId="77777777" w:rsidR="00180C41" w:rsidRPr="00DE79D9" w:rsidRDefault="00180C41" w:rsidP="00180C41"/>
    <w:p w14:paraId="67424655" w14:textId="05010E4C" w:rsidR="00180C41" w:rsidRPr="000E1EA4" w:rsidRDefault="00741EFE" w:rsidP="009F6F73">
      <w:pPr>
        <w:pStyle w:val="FSBullet1"/>
      </w:pPr>
      <w:r>
        <w:t>it complied</w:t>
      </w:r>
      <w:r w:rsidR="00180C41" w:rsidRPr="000E1EA4">
        <w:t xml:space="preserve"> with the procedural requirements under s</w:t>
      </w:r>
      <w:r w:rsidR="00944BA4">
        <w:t>ubsection</w:t>
      </w:r>
      <w:r w:rsidR="00180C41" w:rsidRPr="000E1EA4">
        <w:t xml:space="preserve"> 22(2)</w:t>
      </w:r>
      <w:r w:rsidR="009F6F73">
        <w:t xml:space="preserve"> of the FSANZ Act</w:t>
      </w:r>
    </w:p>
    <w:p w14:paraId="749127A2" w14:textId="6028EABB" w:rsidR="00180C41" w:rsidRPr="000E1EA4" w:rsidRDefault="00741EFE" w:rsidP="009F6F73">
      <w:pPr>
        <w:pStyle w:val="FSBullet1"/>
      </w:pPr>
      <w:r>
        <w:t xml:space="preserve">it related to a matter that warranted </w:t>
      </w:r>
      <w:r w:rsidR="00180C41" w:rsidRPr="000E1EA4">
        <w:t>the variation of a food regulatory measure</w:t>
      </w:r>
      <w:r w:rsidR="009F6F73">
        <w:t>.</w:t>
      </w:r>
    </w:p>
    <w:p w14:paraId="6C90A7A3" w14:textId="77777777" w:rsidR="00DE79D9" w:rsidRDefault="00D3171B" w:rsidP="00DE79D9">
      <w:pPr>
        <w:pStyle w:val="Heading2"/>
      </w:pPr>
      <w:bookmarkStart w:id="33" w:name="_Toc516642375"/>
      <w:r>
        <w:t>1</w:t>
      </w:r>
      <w:r w:rsidR="00606C88">
        <w:t>.5</w:t>
      </w:r>
      <w:r w:rsidR="00DE79D9">
        <w:tab/>
        <w:t>Procedure for assessment</w:t>
      </w:r>
      <w:bookmarkEnd w:id="33"/>
    </w:p>
    <w:p w14:paraId="047C1666" w14:textId="622B4AD8" w:rsidR="00DE79D9" w:rsidRDefault="00B81E55" w:rsidP="00DE79D9">
      <w:r>
        <w:t>The a</w:t>
      </w:r>
      <w:r w:rsidR="00DE79D9" w:rsidRPr="009F6F73">
        <w:t xml:space="preserve">pplication is being assessed under the </w:t>
      </w:r>
      <w:r w:rsidR="009F6F73" w:rsidRPr="009F6F73">
        <w:t>General</w:t>
      </w:r>
      <w:r w:rsidR="00DE79D9" w:rsidRPr="009F6F73">
        <w:t xml:space="preserve"> Procedure.</w:t>
      </w:r>
    </w:p>
    <w:p w14:paraId="20D7E995" w14:textId="77777777" w:rsidR="009F6F73" w:rsidRPr="009F6F73" w:rsidRDefault="009F6F73" w:rsidP="00DE79D9"/>
    <w:p w14:paraId="26B28CD7" w14:textId="77777777" w:rsidR="00AF387F" w:rsidRPr="00180C41" w:rsidRDefault="00D3171B" w:rsidP="00180C41">
      <w:pPr>
        <w:pStyle w:val="Heading1"/>
      </w:pPr>
      <w:bookmarkStart w:id="34" w:name="_Toc300933424"/>
      <w:bookmarkStart w:id="35" w:name="_Toc516642376"/>
      <w:r>
        <w:t>2</w:t>
      </w:r>
      <w:r w:rsidR="001542D8">
        <w:tab/>
      </w:r>
      <w:r w:rsidR="00350DBD">
        <w:t>S</w:t>
      </w:r>
      <w:r w:rsidR="00FB1533">
        <w:t>ummary of the a</w:t>
      </w:r>
      <w:r w:rsidR="00FD2FBE">
        <w:t>ssessment</w:t>
      </w:r>
      <w:bookmarkEnd w:id="26"/>
      <w:bookmarkEnd w:id="34"/>
      <w:bookmarkEnd w:id="35"/>
    </w:p>
    <w:p w14:paraId="6F8F95DC" w14:textId="1700E2EE" w:rsidR="004F69F6" w:rsidRPr="00932F14" w:rsidRDefault="00D3171B" w:rsidP="004646F8">
      <w:pPr>
        <w:pStyle w:val="Heading2"/>
      </w:pPr>
      <w:bookmarkStart w:id="36" w:name="_Toc286391009"/>
      <w:bookmarkStart w:id="37" w:name="_Toc300933425"/>
      <w:bookmarkStart w:id="38" w:name="_Toc516642377"/>
      <w:bookmarkStart w:id="39" w:name="_Toc120358583"/>
      <w:bookmarkStart w:id="40" w:name="_Toc175381440"/>
      <w:r>
        <w:t>2</w:t>
      </w:r>
      <w:r w:rsidR="00271F00">
        <w:t>.</w:t>
      </w:r>
      <w:r w:rsidR="009F6F73">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14:paraId="7274F95A" w14:textId="78C8C15F" w:rsidR="00180C41" w:rsidRDefault="005F0B00" w:rsidP="00180C41">
      <w:r w:rsidRPr="005F0B00">
        <w:t>FSANZ conducted a risk assessment of polysorbate 20 as a food additive for use on processed meat products, and processed fish and fish products</w:t>
      </w:r>
      <w:r w:rsidR="009E6B7C">
        <w:t>,</w:t>
      </w:r>
      <w:r w:rsidRPr="005F0B00">
        <w:t xml:space="preserve"> </w:t>
      </w:r>
      <w:r w:rsidR="009E6B7C">
        <w:t>(refer</w:t>
      </w:r>
      <w:r w:rsidRPr="005F0B00">
        <w:t xml:space="preserve"> SD1</w:t>
      </w:r>
      <w:r w:rsidR="009E6B7C">
        <w:t>)</w:t>
      </w:r>
      <w:r w:rsidRPr="005F0B00">
        <w:t>. The conclusions of this assessment are provided below.</w:t>
      </w:r>
    </w:p>
    <w:p w14:paraId="4677E423" w14:textId="77777777" w:rsidR="005F0B00" w:rsidRDefault="005F0B00" w:rsidP="00180C41"/>
    <w:p w14:paraId="099B5725" w14:textId="44D30D20" w:rsidR="005F0B00" w:rsidRDefault="0020640B" w:rsidP="00180C41">
      <w:r>
        <w:t xml:space="preserve">Polysorbate 20 is technologically justified for its proposed stated purpose, as an emulsifier to surface treat processed meat products, and fish and fish products. The assessment concludes it is able to perform this </w:t>
      </w:r>
      <w:r w:rsidR="00DD0FAA">
        <w:t xml:space="preserve">function </w:t>
      </w:r>
      <w:r>
        <w:t xml:space="preserve">in the amounts and form proposed to be used, and it has </w:t>
      </w:r>
      <w:r w:rsidR="00DD0FAA">
        <w:t>proven</w:t>
      </w:r>
      <w:r>
        <w:t xml:space="preserve"> advantages over other forms of emulsifiers. There are internationally accepted specifications and analytical methods available to check and quantify the levels of polysorbate 20 in treated food.</w:t>
      </w:r>
    </w:p>
    <w:p w14:paraId="2CC4D468" w14:textId="77777777" w:rsidR="0020640B" w:rsidRDefault="0020640B" w:rsidP="00180C41"/>
    <w:p w14:paraId="75779F0E" w14:textId="5EBEB374" w:rsidR="00946453" w:rsidRDefault="00946453" w:rsidP="00946453">
      <w:bookmarkStart w:id="41" w:name="_Toc175381442"/>
      <w:bookmarkStart w:id="42" w:name="_Toc286391010"/>
      <w:bookmarkStart w:id="43" w:name="_Toc300933426"/>
      <w:r>
        <w:t xml:space="preserve">The submitted data, and information from other sources, are considered adequate to define the hazard of polysorbate 20. The available evidence shows that polysorbate 20 is not genotoxic. At the very high dose of 25% w/w in the diet, polysorbate 20 causes diarrhoea and associated weight loss and ill-health in laboratory rodents. </w:t>
      </w:r>
      <w:r w:rsidR="00C7449C" w:rsidRPr="00C7449C">
        <w:t>However, these adverse effects would not be observed in humans since these levels are extremely high and not relevant to human consumption levels.</w:t>
      </w:r>
      <w:r w:rsidR="00C7449C">
        <w:t xml:space="preserve"> </w:t>
      </w:r>
      <w:r>
        <w:t xml:space="preserve">There is no evidence that the polysorbates are reproductive or developmental toxicants. Although clinical data on human tolerance are limited, polysorbates are widely used as emulsifiers in foods and pharmaceuticals internationally, and have not been associated with adverse effects in consumers. Polysorbates 60, 65 and 80 are already permitted in the Australia New Zealand Food Standards Code (the Code) at levels consistent with Good Manufacturing Practice (GMP). </w:t>
      </w:r>
    </w:p>
    <w:p w14:paraId="091DE223" w14:textId="77777777" w:rsidR="00946453" w:rsidRDefault="00946453" w:rsidP="00946453"/>
    <w:p w14:paraId="73070393" w14:textId="679DEFA9" w:rsidR="00946453" w:rsidRDefault="00946453" w:rsidP="00946453">
      <w:r>
        <w:t>Polysorbates 20, 40, 60, 65 and 80 are chemically very similar, are metabolised by the same pathways and have similar adverse effects in laboratory animals. The group ADI set by the Joint FAO/WHO Expert Committee on Food Additives (JECFA) in 1973 was based on chronic dietary studies of polysorbates 60, 65 and 80 in rats</w:t>
      </w:r>
      <w:r w:rsidR="00C7449C">
        <w:t>.</w:t>
      </w:r>
      <w:r>
        <w:t xml:space="preserve"> </w:t>
      </w:r>
      <w:r w:rsidR="00C7449C">
        <w:t xml:space="preserve">A no </w:t>
      </w:r>
      <w:r w:rsidR="00C7449C" w:rsidRPr="00C7449C">
        <w:t xml:space="preserve">observed adverse effect level (NOAEL) of 5% in the diet (equivalent to 2500 mg/kg </w:t>
      </w:r>
      <w:r w:rsidR="00C7449C">
        <w:t>bodyweight (bw)</w:t>
      </w:r>
      <w:r w:rsidR="00C7449C" w:rsidRPr="00C7449C">
        <w:t xml:space="preserve">/day) was based on the occurrence of diarrhoea and associated weight loss and ill-health at the next highest dose of 10 % (5000 mg/kg </w:t>
      </w:r>
      <w:r w:rsidR="00C7449C">
        <w:t>bw/</w:t>
      </w:r>
      <w:r w:rsidR="00C7449C" w:rsidRPr="00C7449C">
        <w:t>day).</w:t>
      </w:r>
      <w:r w:rsidR="00C7449C" w:rsidRPr="00C7449C" w:rsidDel="001449B8">
        <w:t xml:space="preserve"> </w:t>
      </w:r>
      <w:r>
        <w:t xml:space="preserve">From this NOAEL, JECFA derived a group ADI for dietary polysorbates in human beings of 0-25 mg/kg </w:t>
      </w:r>
      <w:r w:rsidR="00C7449C">
        <w:t>bw</w:t>
      </w:r>
      <w:r>
        <w:t>/day. Results of a chronic dietary study of polysorbate 80 in rats, conducted by the National Toxicology Program (NTP) in 1992, support the JECFA ADI, and FSANZ has found no evidence to suggest that the NOAEL for polysorbate 20 would be expected to be lower than those of the other polysorbates.</w:t>
      </w:r>
    </w:p>
    <w:p w14:paraId="4D3FE3B1" w14:textId="70DB4911" w:rsidR="00F947F2" w:rsidRPr="004C418C" w:rsidRDefault="00F947F2" w:rsidP="00F947F2"/>
    <w:p w14:paraId="270ED9B0" w14:textId="64ECE313" w:rsidR="00F947F2" w:rsidRPr="004C418C" w:rsidRDefault="00C7449C" w:rsidP="00F947F2">
      <w:r w:rsidRPr="00C7449C">
        <w:t xml:space="preserve">Given that the group ADI is intended to cover dietary exposure to all polysorbates, FSANZ undertook a dietary exposure assessment for polysorbate 20 plus all other permitted polysorbates. </w:t>
      </w:r>
      <w:r w:rsidR="00F947F2" w:rsidRPr="004C418C">
        <w:t xml:space="preserve">FSANZ </w:t>
      </w:r>
      <w:r w:rsidR="00FE2307">
        <w:t>completed</w:t>
      </w:r>
      <w:r w:rsidR="00FE2307" w:rsidRPr="004C418C">
        <w:t xml:space="preserve"> </w:t>
      </w:r>
      <w:r w:rsidR="00F947F2" w:rsidRPr="004C418C">
        <w:t xml:space="preserve">a </w:t>
      </w:r>
      <w:r w:rsidR="00741EE5" w:rsidRPr="004C418C">
        <w:t xml:space="preserve">refined </w:t>
      </w:r>
      <w:r w:rsidR="00F947F2" w:rsidRPr="004C418C">
        <w:t>estimate of dietary exposure to polysorbates</w:t>
      </w:r>
      <w:r w:rsidR="00741EE5" w:rsidRPr="004C418C">
        <w:t xml:space="preserve"> based on industry use levels, as well as a scenario that included the additional proposed uses for polysorbates 20</w:t>
      </w:r>
      <w:r w:rsidR="00F947F2" w:rsidRPr="004C418C">
        <w:t xml:space="preserve">. </w:t>
      </w:r>
      <w:r w:rsidR="00C511F3" w:rsidRPr="004C418C">
        <w:rPr>
          <w:lang w:eastAsia="en-AU"/>
        </w:rPr>
        <w:t xml:space="preserve">The estimated </w:t>
      </w:r>
      <w:r w:rsidR="00741EE5" w:rsidRPr="004C418C">
        <w:rPr>
          <w:lang w:eastAsia="en-AU"/>
        </w:rPr>
        <w:t xml:space="preserve">refined </w:t>
      </w:r>
      <w:r w:rsidR="00C511F3" w:rsidRPr="004C418C">
        <w:rPr>
          <w:lang w:eastAsia="en-AU"/>
        </w:rPr>
        <w:t>baseline mean and 90</w:t>
      </w:r>
      <w:r w:rsidR="00C511F3" w:rsidRPr="004C418C">
        <w:rPr>
          <w:vertAlign w:val="superscript"/>
          <w:lang w:eastAsia="en-AU"/>
        </w:rPr>
        <w:t>th</w:t>
      </w:r>
      <w:r w:rsidR="00C511F3" w:rsidRPr="004C418C">
        <w:rPr>
          <w:lang w:eastAsia="en-AU"/>
        </w:rPr>
        <w:t xml:space="preserve"> percentile exposure to polysorbates expressed on a kilogram body weight basis ranged from 4.8–10.4 mg/kg </w:t>
      </w:r>
      <w:r w:rsidR="00E11E1E" w:rsidRPr="004C418C">
        <w:rPr>
          <w:lang w:eastAsia="en-AU"/>
        </w:rPr>
        <w:t>bw</w:t>
      </w:r>
      <w:r w:rsidR="00C511F3" w:rsidRPr="004C418C">
        <w:rPr>
          <w:lang w:eastAsia="en-AU"/>
        </w:rPr>
        <w:t xml:space="preserve">/day and 10.7–23.7 mg/kg </w:t>
      </w:r>
      <w:r w:rsidR="00E11E1E" w:rsidRPr="004C418C">
        <w:rPr>
          <w:lang w:eastAsia="en-AU"/>
        </w:rPr>
        <w:t>bw</w:t>
      </w:r>
      <w:r w:rsidR="00C511F3" w:rsidRPr="004C418C">
        <w:rPr>
          <w:lang w:eastAsia="en-AU"/>
        </w:rPr>
        <w:t>/day, respectively</w:t>
      </w:r>
      <w:r w:rsidR="00741EE5" w:rsidRPr="004C418C">
        <w:rPr>
          <w:lang w:eastAsia="en-AU"/>
        </w:rPr>
        <w:t xml:space="preserve"> across all Australian and New Zealand population groups assessed</w:t>
      </w:r>
      <w:r w:rsidR="00C511F3" w:rsidRPr="004C418C">
        <w:rPr>
          <w:lang w:eastAsia="en-AU"/>
        </w:rPr>
        <w:t xml:space="preserve">. When </w:t>
      </w:r>
      <w:r w:rsidR="00C511F3" w:rsidRPr="004C418C">
        <w:rPr>
          <w:bCs/>
          <w:lang w:eastAsia="en-AU"/>
        </w:rPr>
        <w:t>meat and fish products containing polysorbate 20 a</w:t>
      </w:r>
      <w:r w:rsidR="00B81E55" w:rsidRPr="004C418C">
        <w:rPr>
          <w:bCs/>
          <w:lang w:eastAsia="en-AU"/>
        </w:rPr>
        <w:t>t the amount requested by the a</w:t>
      </w:r>
      <w:r w:rsidR="00C511F3" w:rsidRPr="004C418C">
        <w:rPr>
          <w:bCs/>
          <w:lang w:eastAsia="en-AU"/>
        </w:rPr>
        <w:t>pplicant were included</w:t>
      </w:r>
      <w:r w:rsidR="00C511F3" w:rsidRPr="004C418C">
        <w:rPr>
          <w:lang w:eastAsia="en-AU"/>
        </w:rPr>
        <w:t xml:space="preserve">, the </w:t>
      </w:r>
      <w:r w:rsidR="00C511F3" w:rsidRPr="004C418C">
        <w:rPr>
          <w:bCs/>
          <w:lang w:eastAsia="en-AU"/>
        </w:rPr>
        <w:t xml:space="preserve">estimated total </w:t>
      </w:r>
      <w:r w:rsidR="00C511F3" w:rsidRPr="004C418C">
        <w:rPr>
          <w:lang w:eastAsia="en-AU"/>
        </w:rPr>
        <w:t>mean and 90</w:t>
      </w:r>
      <w:r w:rsidR="00C511F3" w:rsidRPr="004C418C">
        <w:rPr>
          <w:vertAlign w:val="superscript"/>
          <w:lang w:eastAsia="en-AU"/>
        </w:rPr>
        <w:t>th</w:t>
      </w:r>
      <w:r w:rsidR="00C511F3" w:rsidRPr="004C418C">
        <w:rPr>
          <w:lang w:eastAsia="en-AU"/>
        </w:rPr>
        <w:t xml:space="preserve"> percentile dietary </w:t>
      </w:r>
      <w:r w:rsidR="00C511F3" w:rsidRPr="004C418C">
        <w:rPr>
          <w:bCs/>
          <w:lang w:eastAsia="en-AU"/>
        </w:rPr>
        <w:t xml:space="preserve">exposures to polysorbates </w:t>
      </w:r>
      <w:r w:rsidR="00C511F3" w:rsidRPr="004C418C">
        <w:rPr>
          <w:lang w:eastAsia="en-AU"/>
        </w:rPr>
        <w:t xml:space="preserve">ranged from 5.0–10.8 mg/kg </w:t>
      </w:r>
      <w:r w:rsidR="00E11E1E" w:rsidRPr="004C418C">
        <w:rPr>
          <w:lang w:eastAsia="en-AU"/>
        </w:rPr>
        <w:t>bw</w:t>
      </w:r>
      <w:r w:rsidR="00C511F3" w:rsidRPr="004C418C">
        <w:rPr>
          <w:lang w:eastAsia="en-AU"/>
        </w:rPr>
        <w:t xml:space="preserve">/day and 11.2–24.7 mg/kg </w:t>
      </w:r>
      <w:r w:rsidR="00E11E1E" w:rsidRPr="004C418C">
        <w:rPr>
          <w:lang w:eastAsia="en-AU"/>
        </w:rPr>
        <w:t>bw</w:t>
      </w:r>
      <w:r w:rsidR="00C511F3" w:rsidRPr="004C418C">
        <w:rPr>
          <w:lang w:eastAsia="en-AU"/>
        </w:rPr>
        <w:t>/day, respectively.</w:t>
      </w:r>
      <w:r w:rsidR="00F947F2" w:rsidRPr="004C418C">
        <w:t xml:space="preserve"> The estimated dietary exposure is conservative and </w:t>
      </w:r>
      <w:r w:rsidR="00741EE5" w:rsidRPr="004C418C">
        <w:t xml:space="preserve">considered to be an overestimate of chronic dietary exposure </w:t>
      </w:r>
      <w:r w:rsidR="00F947F2" w:rsidRPr="004C418C">
        <w:t xml:space="preserve">as it would be unlikely that all foods within each permitted food category would contain polysorbates and unlikely that every consumer will select all of the foods that they consume to be the ones containing </w:t>
      </w:r>
      <w:r w:rsidR="00F947F2" w:rsidRPr="004C418C">
        <w:lastRenderedPageBreak/>
        <w:t xml:space="preserve">polysorbates on a given day. </w:t>
      </w:r>
    </w:p>
    <w:p w14:paraId="7FC20D59" w14:textId="77777777" w:rsidR="00F947F2" w:rsidRPr="004C418C" w:rsidRDefault="00F947F2" w:rsidP="00F947F2"/>
    <w:p w14:paraId="442B62D9" w14:textId="46F17F96" w:rsidR="00C511F3" w:rsidRPr="004C418C" w:rsidRDefault="00F947F2" w:rsidP="00F947F2">
      <w:r w:rsidRPr="004C418C">
        <w:t>Based on</w:t>
      </w:r>
      <w:r w:rsidR="00741EE5" w:rsidRPr="004C418C">
        <w:t xml:space="preserve"> the</w:t>
      </w:r>
      <w:r w:rsidRPr="004C418C">
        <w:t xml:space="preserve"> review of the toxicological data, including consideration of reviews by other regulatory agencies, FSANZ concludes that it is appropriate to include polysorbate 20 in a group ADI for polysorbates, and that the group ADI established by JECFA in 1973 for polysorbates, 0-25 mg/kg bw/day, remains appropriate. </w:t>
      </w:r>
      <w:r w:rsidR="00C511F3" w:rsidRPr="004C418C">
        <w:t>The mean and 90</w:t>
      </w:r>
      <w:r w:rsidR="00C511F3" w:rsidRPr="004C418C">
        <w:rPr>
          <w:vertAlign w:val="superscript"/>
        </w:rPr>
        <w:t>th</w:t>
      </w:r>
      <w:r w:rsidR="00C511F3" w:rsidRPr="004C418C">
        <w:t xml:space="preserve"> percentile </w:t>
      </w:r>
      <w:r w:rsidR="00741EE5" w:rsidRPr="004C418C">
        <w:t xml:space="preserve">refined </w:t>
      </w:r>
      <w:r w:rsidR="00C511F3" w:rsidRPr="004C418C">
        <w:t xml:space="preserve">baseline exposure estimates of polysorbates already permitted in the Code were below the ADI of 25 mg/kg bw/day for all Australian and New Zealand population groups assessed. When the additional requested permissions of polysorbate 20 was applied, the mean and </w:t>
      </w:r>
      <w:r w:rsidR="009F6982">
        <w:t>90</w:t>
      </w:r>
      <w:r w:rsidR="009F6982" w:rsidRPr="009F6982">
        <w:rPr>
          <w:vertAlign w:val="superscript"/>
        </w:rPr>
        <w:t>th</w:t>
      </w:r>
      <w:r w:rsidR="009F6982">
        <w:t xml:space="preserve"> percentile</w:t>
      </w:r>
      <w:r w:rsidR="00C511F3" w:rsidRPr="004C418C">
        <w:t xml:space="preserve"> exposures for all population groups assessed did not exceed the ADI.</w:t>
      </w:r>
    </w:p>
    <w:p w14:paraId="3060E9A9" w14:textId="77777777" w:rsidR="00C511F3" w:rsidRPr="004C418C" w:rsidRDefault="00C511F3" w:rsidP="00F947F2"/>
    <w:p w14:paraId="52871C6C" w14:textId="0839E709" w:rsidR="00F947F2" w:rsidRDefault="00F947F2" w:rsidP="00F947F2">
      <w:r w:rsidRPr="004C418C">
        <w:t>Based on dietary exposure assessment, it is anticipated that this group ADI will not be exceeded by the addition of polysorbate 20 to the proposed food categories</w:t>
      </w:r>
      <w:r w:rsidR="00115647" w:rsidRPr="004C418C">
        <w:t xml:space="preserve"> requested</w:t>
      </w:r>
      <w:r w:rsidRPr="004C418C">
        <w:t xml:space="preserve"> in addition to the permitted polysorbates in the Code.</w:t>
      </w:r>
    </w:p>
    <w:p w14:paraId="6014905F" w14:textId="33CA3C18" w:rsidR="00FE2307" w:rsidRDefault="00FE2307" w:rsidP="00F947F2"/>
    <w:p w14:paraId="7070266E" w14:textId="53CC9A1C" w:rsidR="00FE2307" w:rsidRPr="004C418C" w:rsidRDefault="00FE2307" w:rsidP="00F947F2">
      <w:r>
        <w:t xml:space="preserve">On the basis of these considerations, the risk assessment concluded </w:t>
      </w:r>
      <w:r w:rsidRPr="00992995">
        <w:t xml:space="preserve">that there are no public health and safety concerns </w:t>
      </w:r>
      <w:r>
        <w:t>relating to</w:t>
      </w:r>
      <w:r w:rsidRPr="00992995">
        <w:t xml:space="preserve"> permitting polysorbate 20 as an emulsifier food additive for </w:t>
      </w:r>
      <w:r w:rsidRPr="00992995">
        <w:rPr>
          <w:lang w:val="en-AU" w:eastAsia="en-GB" w:bidi="ar-SA"/>
        </w:rPr>
        <w:t>processed meat and meat products, and processed fish and fish products.</w:t>
      </w:r>
    </w:p>
    <w:p w14:paraId="0C8EE936" w14:textId="57C8FCA7" w:rsidR="004F69F6" w:rsidRPr="00932F14" w:rsidRDefault="00D3171B" w:rsidP="004646F8">
      <w:pPr>
        <w:pStyle w:val="Heading2"/>
      </w:pPr>
      <w:bookmarkStart w:id="44" w:name="_Toc516642378"/>
      <w:r>
        <w:t>2</w:t>
      </w:r>
      <w:r w:rsidR="0045556F">
        <w:t>.</w:t>
      </w:r>
      <w:r w:rsidR="009F6F73">
        <w:t>2</w:t>
      </w:r>
      <w:r w:rsidR="00271F00">
        <w:tab/>
      </w:r>
      <w:bookmarkEnd w:id="41"/>
      <w:bookmarkEnd w:id="42"/>
      <w:bookmarkEnd w:id="43"/>
      <w:r w:rsidR="0045556F">
        <w:t>R</w:t>
      </w:r>
      <w:r w:rsidR="00707E72">
        <w:t>isk m</w:t>
      </w:r>
      <w:r w:rsidR="008A35FB">
        <w:t>anagement</w:t>
      </w:r>
      <w:bookmarkEnd w:id="44"/>
    </w:p>
    <w:p w14:paraId="6195654D" w14:textId="6D35871C" w:rsidR="00D3171B" w:rsidRPr="00992995" w:rsidRDefault="00827BBD" w:rsidP="00DD3C5E">
      <w:bookmarkStart w:id="45" w:name="_Toc300761910"/>
      <w:r w:rsidRPr="006E3E06">
        <w:rPr>
          <w:lang w:val="en-AU" w:eastAsia="en-GB" w:bidi="ar-SA"/>
        </w:rPr>
        <w:t>It is understood that the dietary exposure assessment has very conservative assumptions in it, as explained and highlighted in section 4.</w:t>
      </w:r>
      <w:r w:rsidR="00DA356C" w:rsidRPr="006E3E06">
        <w:rPr>
          <w:lang w:val="en-AU" w:eastAsia="en-GB" w:bidi="ar-SA"/>
        </w:rPr>
        <w:t>2.3</w:t>
      </w:r>
      <w:r w:rsidRPr="006E3E06">
        <w:rPr>
          <w:lang w:val="en-AU" w:eastAsia="en-GB" w:bidi="ar-SA"/>
        </w:rPr>
        <w:t xml:space="preserve"> of SD1. </w:t>
      </w:r>
      <w:r w:rsidR="00CB3FCB" w:rsidRPr="00C7449C">
        <w:rPr>
          <w:lang w:val="en-AU" w:eastAsia="en-GB" w:bidi="ar-SA"/>
        </w:rPr>
        <w:t>This is important because for some sub-population (New Zealand children aged 2-5 years) the 90</w:t>
      </w:r>
      <w:r w:rsidR="00CB3FCB" w:rsidRPr="00C7449C">
        <w:rPr>
          <w:vertAlign w:val="superscript"/>
          <w:lang w:val="en-AU" w:eastAsia="en-GB" w:bidi="ar-SA"/>
        </w:rPr>
        <w:t>th</w:t>
      </w:r>
      <w:r w:rsidR="00CB3FCB" w:rsidRPr="00C7449C">
        <w:rPr>
          <w:lang w:val="en-AU" w:eastAsia="en-GB" w:bidi="ar-SA"/>
        </w:rPr>
        <w:t xml:space="preserve"> percentile dietary exposure for all polysorbates and additional exposure due to polysorbate 20 is close to or equal to 100% of the ADI. </w:t>
      </w:r>
      <w:r w:rsidR="00CB2D0C" w:rsidRPr="00C7449C">
        <w:rPr>
          <w:lang w:val="en-AU" w:eastAsia="en-GB" w:bidi="ar-SA"/>
        </w:rPr>
        <w:t>On the basis of the</w:t>
      </w:r>
      <w:r w:rsidR="00CB2D0C">
        <w:rPr>
          <w:lang w:val="en-AU" w:eastAsia="en-GB" w:bidi="ar-SA"/>
        </w:rPr>
        <w:t xml:space="preserve"> results of FSANZ’s risk assessment, </w:t>
      </w:r>
      <w:r w:rsidRPr="006E3E06">
        <w:rPr>
          <w:lang w:val="en-AU" w:eastAsia="en-GB" w:bidi="ar-SA"/>
        </w:rPr>
        <w:t>i</w:t>
      </w:r>
      <w:r w:rsidR="00B81E55" w:rsidRPr="006E3E06">
        <w:rPr>
          <w:lang w:val="en-AU" w:eastAsia="en-GB" w:bidi="ar-SA"/>
        </w:rPr>
        <w:t>t is appropriate to accept the a</w:t>
      </w:r>
      <w:r w:rsidRPr="006E3E06">
        <w:rPr>
          <w:lang w:val="en-AU" w:eastAsia="en-GB" w:bidi="ar-SA"/>
        </w:rPr>
        <w:t>pplicant’s request to permit polysorbate 20 as a food additive emulsifier in processed meat and meat products</w:t>
      </w:r>
      <w:r w:rsidR="009E3DBE" w:rsidRPr="006E3E06">
        <w:rPr>
          <w:lang w:val="en-AU" w:eastAsia="en-GB" w:bidi="ar-SA"/>
        </w:rPr>
        <w:t>,</w:t>
      </w:r>
      <w:r w:rsidRPr="006E3E06">
        <w:rPr>
          <w:lang w:val="en-AU" w:eastAsia="en-GB" w:bidi="ar-SA"/>
        </w:rPr>
        <w:t xml:space="preserve"> and process</w:t>
      </w:r>
      <w:r w:rsidR="009B66AA" w:rsidRPr="006E3E06">
        <w:rPr>
          <w:lang w:val="en-AU" w:eastAsia="en-GB" w:bidi="ar-SA"/>
        </w:rPr>
        <w:t>ed fish and fish products.</w:t>
      </w:r>
      <w:r w:rsidRPr="00992995">
        <w:rPr>
          <w:lang w:val="en-AU" w:eastAsia="en-GB" w:bidi="ar-SA"/>
        </w:rPr>
        <w:t xml:space="preserve"> </w:t>
      </w:r>
    </w:p>
    <w:p w14:paraId="0A750B51" w14:textId="02D14C89" w:rsidR="00DE3478" w:rsidRDefault="00DE3478" w:rsidP="00DE3478">
      <w:pPr>
        <w:pStyle w:val="Heading3"/>
      </w:pPr>
      <w:bookmarkStart w:id="46" w:name="_Toc516642379"/>
      <w:r>
        <w:t>2.2.1</w:t>
      </w:r>
      <w:r>
        <w:tab/>
        <w:t>Permissions for processed meat and processed fish products</w:t>
      </w:r>
      <w:bookmarkEnd w:id="46"/>
    </w:p>
    <w:p w14:paraId="09E2A26D" w14:textId="288EB87B" w:rsidR="00F348DE" w:rsidRPr="00992995" w:rsidRDefault="00E11E1E" w:rsidP="00DE3478">
      <w:pPr>
        <w:rPr>
          <w:lang w:eastAsia="en-AU" w:bidi="ar-SA"/>
        </w:rPr>
      </w:pPr>
      <w:r w:rsidRPr="00992995">
        <w:rPr>
          <w:lang w:eastAsia="en-AU" w:bidi="ar-SA"/>
        </w:rPr>
        <w:t>The a</w:t>
      </w:r>
      <w:r w:rsidR="007058F5" w:rsidRPr="00992995">
        <w:rPr>
          <w:lang w:eastAsia="en-AU" w:bidi="ar-SA"/>
        </w:rPr>
        <w:t xml:space="preserve">pplication </w:t>
      </w:r>
      <w:r w:rsidR="00F879E2">
        <w:rPr>
          <w:lang w:eastAsia="en-AU" w:bidi="ar-SA"/>
        </w:rPr>
        <w:t xml:space="preserve">sought permission to use </w:t>
      </w:r>
      <w:r w:rsidR="00F879E2" w:rsidRPr="00992995">
        <w:rPr>
          <w:lang w:eastAsia="en-AU" w:bidi="ar-SA"/>
        </w:rPr>
        <w:t xml:space="preserve">polysorbate 20 </w:t>
      </w:r>
      <w:r w:rsidR="00F879E2">
        <w:rPr>
          <w:lang w:eastAsia="en-AU" w:bidi="ar-SA"/>
        </w:rPr>
        <w:t>as a food additive in</w:t>
      </w:r>
      <w:r w:rsidR="00F879E2" w:rsidRPr="00992995">
        <w:rPr>
          <w:lang w:eastAsia="en-AU" w:bidi="ar-SA"/>
        </w:rPr>
        <w:t xml:space="preserve"> </w:t>
      </w:r>
      <w:r w:rsidR="007058F5" w:rsidRPr="00992995">
        <w:rPr>
          <w:lang w:eastAsia="en-AU" w:bidi="ar-SA"/>
        </w:rPr>
        <w:t xml:space="preserve">specific categories </w:t>
      </w:r>
      <w:r w:rsidR="00F879E2">
        <w:rPr>
          <w:lang w:eastAsia="en-AU" w:bidi="ar-SA"/>
        </w:rPr>
        <w:t xml:space="preserve">of food products </w:t>
      </w:r>
      <w:r w:rsidR="007058F5" w:rsidRPr="00992995">
        <w:rPr>
          <w:lang w:eastAsia="en-AU" w:bidi="ar-SA"/>
        </w:rPr>
        <w:t>listed in the table to section S15—5</w:t>
      </w:r>
      <w:r w:rsidR="00F879E2">
        <w:rPr>
          <w:lang w:eastAsia="en-AU" w:bidi="ar-SA"/>
        </w:rPr>
        <w:t>. These</w:t>
      </w:r>
      <w:r w:rsidR="007058F5" w:rsidRPr="00992995">
        <w:rPr>
          <w:lang w:eastAsia="en-AU" w:bidi="ar-SA"/>
        </w:rPr>
        <w:t xml:space="preserve"> are summarised in</w:t>
      </w:r>
      <w:r w:rsidRPr="00992995">
        <w:rPr>
          <w:lang w:eastAsia="en-AU" w:bidi="ar-SA"/>
        </w:rPr>
        <w:t xml:space="preserve"> Table 1</w:t>
      </w:r>
      <w:r w:rsidR="007058F5" w:rsidRPr="00992995">
        <w:rPr>
          <w:lang w:eastAsia="en-AU" w:bidi="ar-SA"/>
        </w:rPr>
        <w:t>.</w:t>
      </w:r>
      <w:r w:rsidR="00B06DF7" w:rsidRPr="00992995">
        <w:rPr>
          <w:lang w:eastAsia="en-AU" w:bidi="ar-SA"/>
        </w:rPr>
        <w:t xml:space="preserve"> The requested Maximum Permitted Level (MPL) for each cate</w:t>
      </w:r>
      <w:r w:rsidR="00B81E55" w:rsidRPr="00992995">
        <w:rPr>
          <w:lang w:eastAsia="en-AU" w:bidi="ar-SA"/>
        </w:rPr>
        <w:t>gory is 500 mg/kg</w:t>
      </w:r>
      <w:r w:rsidR="00F879E2">
        <w:rPr>
          <w:lang w:eastAsia="en-AU" w:bidi="ar-SA"/>
        </w:rPr>
        <w:t>. H</w:t>
      </w:r>
      <w:r w:rsidR="00B81E55" w:rsidRPr="00992995">
        <w:rPr>
          <w:lang w:eastAsia="en-AU" w:bidi="ar-SA"/>
        </w:rPr>
        <w:t>owever the a</w:t>
      </w:r>
      <w:r w:rsidR="00B06DF7" w:rsidRPr="00992995">
        <w:rPr>
          <w:lang w:eastAsia="en-AU" w:bidi="ar-SA"/>
        </w:rPr>
        <w:t xml:space="preserve">pplicant requested the food additive be permitted </w:t>
      </w:r>
      <w:r w:rsidR="00F879E2">
        <w:rPr>
          <w:lang w:eastAsia="en-AU" w:bidi="ar-SA"/>
        </w:rPr>
        <w:t xml:space="preserve">to be used </w:t>
      </w:r>
      <w:r w:rsidR="00B06DF7" w:rsidRPr="00992995">
        <w:rPr>
          <w:lang w:eastAsia="en-AU" w:bidi="ar-SA"/>
        </w:rPr>
        <w:t>at GMP</w:t>
      </w:r>
      <w:r w:rsidR="008D52EE">
        <w:rPr>
          <w:lang w:eastAsia="en-AU" w:bidi="ar-SA"/>
        </w:rPr>
        <w:t xml:space="preserve"> comparable to permissions for polysorbate 60, 65 and 80</w:t>
      </w:r>
      <w:r w:rsidR="00F879E2">
        <w:rPr>
          <w:lang w:eastAsia="en-AU" w:bidi="ar-SA"/>
        </w:rPr>
        <w:t xml:space="preserve"> and, for that reason, asked that the substance be </w:t>
      </w:r>
      <w:r w:rsidR="00B06DF7" w:rsidRPr="00992995">
        <w:rPr>
          <w:lang w:eastAsia="en-AU" w:bidi="ar-SA"/>
        </w:rPr>
        <w:t>listed in</w:t>
      </w:r>
      <w:r w:rsidR="00F879E2">
        <w:rPr>
          <w:lang w:eastAsia="en-AU" w:bidi="ar-SA"/>
        </w:rPr>
        <w:t xml:space="preserve"> </w:t>
      </w:r>
      <w:r w:rsidR="00B06DF7" w:rsidRPr="00992995">
        <w:rPr>
          <w:lang w:eastAsia="en-AU" w:bidi="ar-SA"/>
        </w:rPr>
        <w:t>section S16—2</w:t>
      </w:r>
      <w:r w:rsidR="00F879E2">
        <w:rPr>
          <w:lang w:eastAsia="en-AU" w:bidi="ar-SA"/>
        </w:rPr>
        <w:t xml:space="preserve"> as an additive permitted at GMP</w:t>
      </w:r>
      <w:r w:rsidR="00B06DF7" w:rsidRPr="00992995">
        <w:rPr>
          <w:lang w:eastAsia="en-AU" w:bidi="ar-SA"/>
        </w:rPr>
        <w:t>.</w:t>
      </w:r>
    </w:p>
    <w:p w14:paraId="45087334" w14:textId="77777777" w:rsidR="00DA356C" w:rsidRPr="00992995" w:rsidRDefault="00DA356C" w:rsidP="00DE3478">
      <w:pPr>
        <w:rPr>
          <w:lang w:eastAsia="en-AU" w:bidi="ar-SA"/>
        </w:rPr>
      </w:pPr>
    </w:p>
    <w:p w14:paraId="44E61AEE" w14:textId="7440E5FD" w:rsidR="00E11E1E" w:rsidRDefault="00E11E1E" w:rsidP="00E11E1E">
      <w:pPr>
        <w:pStyle w:val="FSTableTitle"/>
        <w:ind w:left="1134" w:hanging="1134"/>
        <w:rPr>
          <w:rFonts w:eastAsiaTheme="majorEastAsia"/>
          <w:i/>
          <w:lang w:bidi="ar-SA"/>
        </w:rPr>
      </w:pPr>
      <w:r w:rsidRPr="00A02161">
        <w:rPr>
          <w:rFonts w:eastAsiaTheme="majorEastAsia"/>
          <w:i/>
          <w:lang w:bidi="ar-SA"/>
        </w:rPr>
        <w:t>Table 1</w:t>
      </w:r>
      <w:r>
        <w:rPr>
          <w:rFonts w:eastAsiaTheme="majorEastAsia"/>
          <w:i/>
          <w:lang w:bidi="ar-SA"/>
        </w:rPr>
        <w:t>:</w:t>
      </w:r>
      <w:r w:rsidRPr="00A02161">
        <w:rPr>
          <w:rFonts w:eastAsiaTheme="majorEastAsia"/>
          <w:i/>
          <w:lang w:bidi="ar-SA"/>
        </w:rPr>
        <w:tab/>
      </w:r>
      <w:r>
        <w:rPr>
          <w:rFonts w:eastAsiaTheme="majorEastAsia"/>
          <w:i/>
          <w:lang w:bidi="ar-SA"/>
        </w:rPr>
        <w:t xml:space="preserve">Food categories for which applicant is seeking permission for polysorbate 20, including Maximum Permitted Level (MPL) </w:t>
      </w:r>
    </w:p>
    <w:p w14:paraId="526F7C75" w14:textId="022BC254" w:rsidR="007058F5" w:rsidRPr="00992995" w:rsidRDefault="007058F5" w:rsidP="00DE3478">
      <w:pPr>
        <w:rPr>
          <w:lang w:eastAsia="en-AU" w:bidi="ar-SA"/>
        </w:rPr>
      </w:pPr>
    </w:p>
    <w:tbl>
      <w:tblPr>
        <w:tblStyle w:val="ListTable4"/>
        <w:tblW w:w="0" w:type="auto"/>
        <w:tblBorders>
          <w:top w:val="none" w:sz="0" w:space="0" w:color="auto"/>
          <w:left w:val="none" w:sz="0" w:space="0" w:color="auto"/>
          <w:bottom w:val="single" w:sz="4" w:space="0" w:color="ECECEC"/>
          <w:right w:val="none" w:sz="0" w:space="0" w:color="auto"/>
          <w:insideH w:val="none" w:sz="0" w:space="0" w:color="auto"/>
        </w:tblBorders>
        <w:tblLook w:val="04A0" w:firstRow="1" w:lastRow="0" w:firstColumn="1" w:lastColumn="0" w:noHBand="0" w:noVBand="1"/>
      </w:tblPr>
      <w:tblGrid>
        <w:gridCol w:w="2093"/>
        <w:gridCol w:w="5528"/>
        <w:gridCol w:w="1665"/>
      </w:tblGrid>
      <w:tr w:rsidR="00992995" w:rsidRPr="00992995" w14:paraId="464E2A39" w14:textId="63F449CC" w:rsidTr="003D4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616571"/>
          </w:tcPr>
          <w:p w14:paraId="424B60A1" w14:textId="72E3B98E" w:rsidR="007058F5" w:rsidRPr="00992995" w:rsidRDefault="007058F5" w:rsidP="00DE3478">
            <w:pPr>
              <w:rPr>
                <w:b w:val="0"/>
                <w:color w:val="auto"/>
                <w:sz w:val="20"/>
                <w:szCs w:val="20"/>
                <w:lang w:eastAsia="en-AU" w:bidi="ar-SA"/>
              </w:rPr>
            </w:pPr>
            <w:r w:rsidRPr="00992995">
              <w:rPr>
                <w:color w:val="auto"/>
                <w:sz w:val="20"/>
                <w:szCs w:val="20"/>
                <w:lang w:eastAsia="en-AU" w:bidi="ar-SA"/>
              </w:rPr>
              <w:t>Food category</w:t>
            </w:r>
          </w:p>
        </w:tc>
        <w:tc>
          <w:tcPr>
            <w:tcW w:w="5528" w:type="dxa"/>
            <w:shd w:val="clear" w:color="auto" w:fill="616571"/>
          </w:tcPr>
          <w:p w14:paraId="60C6D109" w14:textId="521EAD6F" w:rsidR="007058F5" w:rsidRPr="00992995" w:rsidRDefault="007058F5" w:rsidP="00DE3478">
            <w:pPr>
              <w:cnfStyle w:val="100000000000" w:firstRow="1" w:lastRow="0" w:firstColumn="0" w:lastColumn="0" w:oddVBand="0" w:evenVBand="0" w:oddHBand="0" w:evenHBand="0" w:firstRowFirstColumn="0" w:firstRowLastColumn="0" w:lastRowFirstColumn="0" w:lastRowLastColumn="0"/>
              <w:rPr>
                <w:b w:val="0"/>
                <w:color w:val="auto"/>
                <w:sz w:val="20"/>
                <w:szCs w:val="20"/>
                <w:lang w:eastAsia="en-AU" w:bidi="ar-SA"/>
              </w:rPr>
            </w:pPr>
            <w:r w:rsidRPr="00992995">
              <w:rPr>
                <w:color w:val="auto"/>
                <w:sz w:val="20"/>
                <w:szCs w:val="20"/>
                <w:lang w:eastAsia="en-AU" w:bidi="ar-SA"/>
              </w:rPr>
              <w:t>Food category description</w:t>
            </w:r>
          </w:p>
        </w:tc>
        <w:tc>
          <w:tcPr>
            <w:tcW w:w="1665" w:type="dxa"/>
            <w:shd w:val="clear" w:color="auto" w:fill="616571"/>
          </w:tcPr>
          <w:p w14:paraId="2DC006D4" w14:textId="77B258FD" w:rsidR="007058F5" w:rsidRPr="00992995" w:rsidRDefault="007058F5" w:rsidP="00B06DF7">
            <w:pPr>
              <w:cnfStyle w:val="100000000000" w:firstRow="1" w:lastRow="0" w:firstColumn="0" w:lastColumn="0" w:oddVBand="0" w:evenVBand="0" w:oddHBand="0" w:evenHBand="0" w:firstRowFirstColumn="0" w:firstRowLastColumn="0" w:lastRowFirstColumn="0" w:lastRowLastColumn="0"/>
              <w:rPr>
                <w:b w:val="0"/>
                <w:color w:val="auto"/>
                <w:sz w:val="20"/>
                <w:szCs w:val="20"/>
                <w:lang w:eastAsia="en-AU" w:bidi="ar-SA"/>
              </w:rPr>
            </w:pPr>
            <w:r w:rsidRPr="00992995">
              <w:rPr>
                <w:color w:val="auto"/>
                <w:sz w:val="20"/>
                <w:szCs w:val="20"/>
                <w:lang w:eastAsia="en-AU" w:bidi="ar-SA"/>
              </w:rPr>
              <w:t>MPL mg/kg</w:t>
            </w:r>
          </w:p>
        </w:tc>
      </w:tr>
      <w:tr w:rsidR="00992995" w:rsidRPr="00992995" w14:paraId="431C0785" w14:textId="3AD2C630" w:rsidTr="003D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ECECEC"/>
          </w:tcPr>
          <w:p w14:paraId="3FB6B263" w14:textId="3F4EC070" w:rsidR="007058F5" w:rsidRPr="00992995" w:rsidRDefault="007058F5" w:rsidP="00DE3478">
            <w:pPr>
              <w:rPr>
                <w:sz w:val="20"/>
                <w:szCs w:val="20"/>
                <w:lang w:eastAsia="en-AU" w:bidi="ar-SA"/>
              </w:rPr>
            </w:pPr>
            <w:r w:rsidRPr="00992995">
              <w:rPr>
                <w:sz w:val="20"/>
                <w:szCs w:val="20"/>
                <w:lang w:eastAsia="en-AU" w:bidi="ar-SA"/>
              </w:rPr>
              <w:t>8.2</w:t>
            </w:r>
          </w:p>
        </w:tc>
        <w:tc>
          <w:tcPr>
            <w:tcW w:w="5528" w:type="dxa"/>
            <w:shd w:val="clear" w:color="auto" w:fill="ECECEC"/>
          </w:tcPr>
          <w:p w14:paraId="5EE64619" w14:textId="7CEE2A80" w:rsidR="007058F5" w:rsidRPr="00992995" w:rsidRDefault="007058F5" w:rsidP="00DE3478">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992995">
              <w:rPr>
                <w:sz w:val="20"/>
                <w:szCs w:val="20"/>
                <w:lang w:eastAsia="en-AU" w:bidi="ar-SA"/>
              </w:rPr>
              <w:t>Processed meat, poultry and game products in whole cuts or pieces</w:t>
            </w:r>
          </w:p>
        </w:tc>
        <w:tc>
          <w:tcPr>
            <w:tcW w:w="1665" w:type="dxa"/>
            <w:shd w:val="clear" w:color="auto" w:fill="ECECEC"/>
          </w:tcPr>
          <w:p w14:paraId="4309EABE" w14:textId="7AC4B340" w:rsidR="007058F5" w:rsidRPr="00992995" w:rsidRDefault="007058F5" w:rsidP="00DE3478">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992995">
              <w:rPr>
                <w:sz w:val="20"/>
                <w:szCs w:val="20"/>
                <w:lang w:eastAsia="en-AU" w:bidi="ar-SA"/>
              </w:rPr>
              <w:t>500</w:t>
            </w:r>
          </w:p>
        </w:tc>
      </w:tr>
      <w:tr w:rsidR="00992995" w:rsidRPr="00992995" w14:paraId="6A083FD4" w14:textId="6E7F438D" w:rsidTr="003D427C">
        <w:tc>
          <w:tcPr>
            <w:cnfStyle w:val="001000000000" w:firstRow="0" w:lastRow="0" w:firstColumn="1" w:lastColumn="0" w:oddVBand="0" w:evenVBand="0" w:oddHBand="0" w:evenHBand="0" w:firstRowFirstColumn="0" w:firstRowLastColumn="0" w:lastRowFirstColumn="0" w:lastRowLastColumn="0"/>
            <w:tcW w:w="2093" w:type="dxa"/>
          </w:tcPr>
          <w:p w14:paraId="25595C60" w14:textId="2F958FFD" w:rsidR="007058F5" w:rsidRPr="00992995" w:rsidRDefault="007058F5" w:rsidP="00DE3478">
            <w:pPr>
              <w:rPr>
                <w:sz w:val="20"/>
                <w:szCs w:val="20"/>
                <w:lang w:eastAsia="en-AU" w:bidi="ar-SA"/>
              </w:rPr>
            </w:pPr>
            <w:r w:rsidRPr="00992995">
              <w:rPr>
                <w:sz w:val="20"/>
                <w:szCs w:val="20"/>
                <w:lang w:eastAsia="en-AU" w:bidi="ar-SA"/>
              </w:rPr>
              <w:t>8.3</w:t>
            </w:r>
          </w:p>
        </w:tc>
        <w:tc>
          <w:tcPr>
            <w:tcW w:w="5528" w:type="dxa"/>
          </w:tcPr>
          <w:p w14:paraId="7039874B" w14:textId="0523B6C8" w:rsidR="007058F5" w:rsidRPr="00992995" w:rsidRDefault="007058F5" w:rsidP="00DE3478">
            <w:pPr>
              <w:cnfStyle w:val="000000000000" w:firstRow="0" w:lastRow="0" w:firstColumn="0" w:lastColumn="0" w:oddVBand="0" w:evenVBand="0" w:oddHBand="0" w:evenHBand="0" w:firstRowFirstColumn="0" w:firstRowLastColumn="0" w:lastRowFirstColumn="0" w:lastRowLastColumn="0"/>
              <w:rPr>
                <w:sz w:val="20"/>
                <w:szCs w:val="20"/>
                <w:lang w:eastAsia="en-AU" w:bidi="ar-SA"/>
              </w:rPr>
            </w:pPr>
            <w:r w:rsidRPr="00992995">
              <w:rPr>
                <w:sz w:val="20"/>
                <w:szCs w:val="20"/>
                <w:lang w:eastAsia="en-AU" w:bidi="ar-SA"/>
              </w:rPr>
              <w:t>Processed comminuted meat, poultry and game products</w:t>
            </w:r>
          </w:p>
        </w:tc>
        <w:tc>
          <w:tcPr>
            <w:tcW w:w="1665" w:type="dxa"/>
          </w:tcPr>
          <w:p w14:paraId="234F71D5" w14:textId="41B820E5" w:rsidR="007058F5" w:rsidRPr="00992995" w:rsidRDefault="007058F5" w:rsidP="00DE3478">
            <w:pPr>
              <w:cnfStyle w:val="000000000000" w:firstRow="0" w:lastRow="0" w:firstColumn="0" w:lastColumn="0" w:oddVBand="0" w:evenVBand="0" w:oddHBand="0" w:evenHBand="0" w:firstRowFirstColumn="0" w:firstRowLastColumn="0" w:lastRowFirstColumn="0" w:lastRowLastColumn="0"/>
              <w:rPr>
                <w:sz w:val="20"/>
                <w:szCs w:val="20"/>
                <w:lang w:eastAsia="en-AU" w:bidi="ar-SA"/>
              </w:rPr>
            </w:pPr>
            <w:r w:rsidRPr="00992995">
              <w:rPr>
                <w:sz w:val="20"/>
                <w:szCs w:val="20"/>
                <w:lang w:eastAsia="en-AU" w:bidi="ar-SA"/>
              </w:rPr>
              <w:t>500</w:t>
            </w:r>
          </w:p>
        </w:tc>
      </w:tr>
      <w:tr w:rsidR="00992995" w:rsidRPr="00992995" w14:paraId="00717688" w14:textId="39CECABA" w:rsidTr="003D4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ECECEC"/>
          </w:tcPr>
          <w:p w14:paraId="5985A452" w14:textId="0EF293CD" w:rsidR="007058F5" w:rsidRPr="00992995" w:rsidRDefault="007058F5" w:rsidP="00DE3478">
            <w:pPr>
              <w:rPr>
                <w:sz w:val="20"/>
                <w:szCs w:val="20"/>
                <w:lang w:eastAsia="en-AU" w:bidi="ar-SA"/>
              </w:rPr>
            </w:pPr>
            <w:r w:rsidRPr="00992995">
              <w:rPr>
                <w:sz w:val="20"/>
                <w:szCs w:val="20"/>
                <w:lang w:eastAsia="en-AU" w:bidi="ar-SA"/>
              </w:rPr>
              <w:t>9.2</w:t>
            </w:r>
          </w:p>
        </w:tc>
        <w:tc>
          <w:tcPr>
            <w:tcW w:w="5528" w:type="dxa"/>
            <w:shd w:val="clear" w:color="auto" w:fill="ECECEC"/>
          </w:tcPr>
          <w:p w14:paraId="76FDC4BD" w14:textId="219A88A6" w:rsidR="007058F5" w:rsidRPr="00992995" w:rsidRDefault="007058F5" w:rsidP="00DE3478">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992995">
              <w:rPr>
                <w:sz w:val="20"/>
                <w:szCs w:val="20"/>
                <w:lang w:eastAsia="en-AU" w:bidi="ar-SA"/>
              </w:rPr>
              <w:t>Processed fish and fish products</w:t>
            </w:r>
          </w:p>
        </w:tc>
        <w:tc>
          <w:tcPr>
            <w:tcW w:w="1665" w:type="dxa"/>
            <w:shd w:val="clear" w:color="auto" w:fill="ECECEC"/>
          </w:tcPr>
          <w:p w14:paraId="4D440CF3" w14:textId="2E7E267E" w:rsidR="007058F5" w:rsidRPr="00992995" w:rsidRDefault="007058F5" w:rsidP="00DE3478">
            <w:pPr>
              <w:cnfStyle w:val="000000100000" w:firstRow="0" w:lastRow="0" w:firstColumn="0" w:lastColumn="0" w:oddVBand="0" w:evenVBand="0" w:oddHBand="1" w:evenHBand="0" w:firstRowFirstColumn="0" w:firstRowLastColumn="0" w:lastRowFirstColumn="0" w:lastRowLastColumn="0"/>
              <w:rPr>
                <w:sz w:val="20"/>
                <w:szCs w:val="20"/>
                <w:lang w:eastAsia="en-AU" w:bidi="ar-SA"/>
              </w:rPr>
            </w:pPr>
            <w:r w:rsidRPr="00992995">
              <w:rPr>
                <w:sz w:val="20"/>
                <w:szCs w:val="20"/>
                <w:lang w:eastAsia="en-AU" w:bidi="ar-SA"/>
              </w:rPr>
              <w:t>500</w:t>
            </w:r>
          </w:p>
        </w:tc>
      </w:tr>
    </w:tbl>
    <w:p w14:paraId="63CAB288" w14:textId="77777777" w:rsidR="007058F5" w:rsidRPr="00992995" w:rsidRDefault="007058F5" w:rsidP="00DE3478">
      <w:pPr>
        <w:rPr>
          <w:lang w:eastAsia="en-AU" w:bidi="ar-SA"/>
        </w:rPr>
      </w:pPr>
    </w:p>
    <w:p w14:paraId="25B2C455" w14:textId="6FB4D6B8" w:rsidR="00436463" w:rsidRPr="00992995" w:rsidRDefault="00B06DF7" w:rsidP="00DE3478">
      <w:pPr>
        <w:rPr>
          <w:rFonts w:eastAsiaTheme="minorHAnsi" w:cstheme="minorBidi"/>
          <w:szCs w:val="22"/>
          <w:lang w:bidi="ar-SA"/>
        </w:rPr>
      </w:pPr>
      <w:r w:rsidRPr="00992995">
        <w:rPr>
          <w:lang w:eastAsia="en-AU" w:bidi="ar-SA"/>
        </w:rPr>
        <w:t>FSANZ</w:t>
      </w:r>
      <w:r w:rsidR="00A3776E" w:rsidRPr="00992995">
        <w:rPr>
          <w:lang w:eastAsia="en-AU" w:bidi="ar-SA"/>
        </w:rPr>
        <w:t>’s</w:t>
      </w:r>
      <w:r w:rsidRPr="00992995">
        <w:rPr>
          <w:lang w:eastAsia="en-AU" w:bidi="ar-SA"/>
        </w:rPr>
        <w:t xml:space="preserve"> Food Technology assessment (section</w:t>
      </w:r>
      <w:r w:rsidR="00A3776E" w:rsidRPr="00992995">
        <w:rPr>
          <w:lang w:eastAsia="en-AU" w:bidi="ar-SA"/>
        </w:rPr>
        <w:t>s</w:t>
      </w:r>
      <w:r w:rsidRPr="00992995">
        <w:rPr>
          <w:lang w:eastAsia="en-AU" w:bidi="ar-SA"/>
        </w:rPr>
        <w:t xml:space="preserve"> 2.1.3 and 2.1.4 of SD1) confirmed the </w:t>
      </w:r>
      <w:r w:rsidRPr="00992995">
        <w:rPr>
          <w:rFonts w:eastAsiaTheme="minorHAnsi" w:cstheme="minorBidi"/>
          <w:szCs w:val="22"/>
          <w:lang w:bidi="ar-SA"/>
        </w:rPr>
        <w:t xml:space="preserve">claimed benefit of the </w:t>
      </w:r>
      <w:r w:rsidR="00B81E55" w:rsidRPr="00992995">
        <w:rPr>
          <w:rFonts w:eastAsiaTheme="minorHAnsi" w:cstheme="minorBidi"/>
          <w:szCs w:val="22"/>
          <w:lang w:bidi="ar-SA"/>
        </w:rPr>
        <w:t>a</w:t>
      </w:r>
      <w:r w:rsidRPr="00992995">
        <w:rPr>
          <w:rFonts w:eastAsiaTheme="minorHAnsi" w:cstheme="minorBidi"/>
          <w:szCs w:val="22"/>
          <w:lang w:bidi="ar-SA"/>
        </w:rPr>
        <w:t xml:space="preserve">pplication that polysorbate 20 used as an emulsifier in the amounts and form proposed in conjunction with various plant based extracts containing active antimicrobials provides antimicrobial activity and concomitant </w:t>
      </w:r>
      <w:r w:rsidR="00CB2D0C" w:rsidRPr="00992995">
        <w:rPr>
          <w:rFonts w:eastAsiaTheme="minorHAnsi" w:cstheme="minorBidi"/>
          <w:szCs w:val="22"/>
          <w:lang w:bidi="ar-SA"/>
        </w:rPr>
        <w:t>shelf</w:t>
      </w:r>
      <w:r w:rsidR="00CB2D0C">
        <w:rPr>
          <w:rFonts w:eastAsiaTheme="minorHAnsi" w:cstheme="minorBidi"/>
          <w:szCs w:val="22"/>
          <w:lang w:bidi="ar-SA"/>
        </w:rPr>
        <w:t>-</w:t>
      </w:r>
      <w:r w:rsidRPr="00992995">
        <w:rPr>
          <w:rFonts w:eastAsiaTheme="minorHAnsi" w:cstheme="minorBidi"/>
          <w:szCs w:val="22"/>
          <w:lang w:bidi="ar-SA"/>
        </w:rPr>
        <w:t>life improvement.</w:t>
      </w:r>
      <w:r w:rsidR="004A70A8" w:rsidRPr="00992995">
        <w:rPr>
          <w:rFonts w:eastAsiaTheme="minorHAnsi" w:cstheme="minorBidi"/>
          <w:szCs w:val="22"/>
          <w:lang w:bidi="ar-SA"/>
        </w:rPr>
        <w:t xml:space="preserve"> It is therefore appropriate to permit polysorbate 20 as a food additive for the food categories 8.2, 8.3 and 9.2 with the MPL at 500 mg/kg in the table to section S15—5. It is not appropriate to add polysorbate 20 as a GMP food additive to the tables to section S16—2 since an ADI has been established for the polysorbate food additive family and the dietary exposure assessment has indicated that exposure to the food additives for high consumers </w:t>
      </w:r>
      <w:r w:rsidR="00A3776E" w:rsidRPr="00992995">
        <w:rPr>
          <w:rFonts w:eastAsiaTheme="minorHAnsi" w:cstheme="minorBidi"/>
          <w:szCs w:val="22"/>
          <w:lang w:bidi="ar-SA"/>
        </w:rPr>
        <w:t>of</w:t>
      </w:r>
      <w:r w:rsidR="004A70A8" w:rsidRPr="00992995">
        <w:rPr>
          <w:rFonts w:eastAsiaTheme="minorHAnsi" w:cstheme="minorBidi"/>
          <w:szCs w:val="22"/>
          <w:lang w:bidi="ar-SA"/>
        </w:rPr>
        <w:t xml:space="preserve"> some </w:t>
      </w:r>
      <w:r w:rsidR="004A70A8" w:rsidRPr="00992995">
        <w:rPr>
          <w:rFonts w:eastAsiaTheme="minorHAnsi" w:cstheme="minorBidi"/>
          <w:szCs w:val="22"/>
          <w:lang w:bidi="ar-SA"/>
        </w:rPr>
        <w:lastRenderedPageBreak/>
        <w:t xml:space="preserve">sub-populations is close to the ADI. </w:t>
      </w:r>
    </w:p>
    <w:p w14:paraId="0CED1AE5" w14:textId="674B2A6E" w:rsidR="00DE3478" w:rsidRPr="00992995" w:rsidRDefault="00DE3478" w:rsidP="00DE3478">
      <w:pPr>
        <w:pStyle w:val="Heading3"/>
        <w:rPr>
          <w:color w:val="auto"/>
        </w:rPr>
      </w:pPr>
      <w:bookmarkStart w:id="47" w:name="_Toc516642380"/>
      <w:r w:rsidRPr="00992995">
        <w:rPr>
          <w:color w:val="auto"/>
        </w:rPr>
        <w:t>2.2.2</w:t>
      </w:r>
      <w:r w:rsidRPr="00992995">
        <w:rPr>
          <w:color w:val="auto"/>
        </w:rPr>
        <w:tab/>
        <w:t>Labelling considerations</w:t>
      </w:r>
      <w:bookmarkEnd w:id="47"/>
    </w:p>
    <w:p w14:paraId="6504F393" w14:textId="404DBF8F" w:rsidR="00551CE9" w:rsidRDefault="001062F4" w:rsidP="00551CE9">
      <w:r>
        <w:t xml:space="preserve">Section 1.2.4—7 in </w:t>
      </w:r>
      <w:r w:rsidRPr="00880A36">
        <w:t>Standard 1.2.4</w:t>
      </w:r>
      <w:r>
        <w:t xml:space="preserve"> requires s</w:t>
      </w:r>
      <w:r w:rsidR="006F333E">
        <w:t xml:space="preserve">ubstances used as food additives </w:t>
      </w:r>
      <w:r w:rsidR="006F333E" w:rsidRPr="00457B0C">
        <w:t xml:space="preserve">to be </w:t>
      </w:r>
      <w:r w:rsidR="00494CD4">
        <w:t>declared</w:t>
      </w:r>
      <w:r w:rsidR="00494CD4" w:rsidRPr="00457B0C">
        <w:t xml:space="preserve"> </w:t>
      </w:r>
      <w:r w:rsidR="006F333E" w:rsidRPr="00457B0C">
        <w:t xml:space="preserve">in the </w:t>
      </w:r>
      <w:r>
        <w:t>statement</w:t>
      </w:r>
      <w:r w:rsidRPr="00457B0C">
        <w:t xml:space="preserve"> </w:t>
      </w:r>
      <w:r w:rsidR="006F333E" w:rsidRPr="00457B0C">
        <w:t>of ingredients on the label of most packaged foods</w:t>
      </w:r>
      <w:r w:rsidR="006F333E">
        <w:t>.</w:t>
      </w:r>
      <w:r w:rsidR="006F333E" w:rsidRPr="00457B0C">
        <w:t xml:space="preserve"> </w:t>
      </w:r>
      <w:r w:rsidR="00551CE9">
        <w:t xml:space="preserve">This can occur in </w:t>
      </w:r>
      <w:r w:rsidR="006404C9">
        <w:t xml:space="preserve">either of the following </w:t>
      </w:r>
      <w:r w:rsidR="00551CE9">
        <w:t>two ways:</w:t>
      </w:r>
    </w:p>
    <w:p w14:paraId="0A014B9C" w14:textId="77777777" w:rsidR="00551CE9" w:rsidRDefault="00551CE9" w:rsidP="00551CE9"/>
    <w:p w14:paraId="6EBE6727" w14:textId="42FAF869" w:rsidR="00551CE9" w:rsidRDefault="00551CE9" w:rsidP="00551CE9">
      <w:pPr>
        <w:pStyle w:val="FSBullet1"/>
      </w:pPr>
      <w:r>
        <w:t>I</w:t>
      </w:r>
      <w:r w:rsidRPr="00886E69">
        <w:t>f the substance can be classified into a class of additives listed in Schedule 7</w:t>
      </w:r>
      <w:r>
        <w:t xml:space="preserve"> </w:t>
      </w:r>
      <w:r w:rsidRPr="00DA356C">
        <w:t>-– Food additive class names (for statement of ingredients)</w:t>
      </w:r>
      <w:r w:rsidRPr="00551CE9">
        <w:t>, then:</w:t>
      </w:r>
    </w:p>
    <w:p w14:paraId="17715498" w14:textId="4791AA18" w:rsidR="00551CE9" w:rsidRDefault="00551CE9" w:rsidP="007226D1">
      <w:pPr>
        <w:pStyle w:val="FSBullet2"/>
        <w:spacing w:before="120"/>
      </w:pPr>
      <w:r w:rsidRPr="00433B39">
        <w:t>the class name to be declared</w:t>
      </w:r>
      <w:r>
        <w:t xml:space="preserve"> (e.g. ‘</w:t>
      </w:r>
      <w:r w:rsidR="007226D1">
        <w:t>emulsifier</w:t>
      </w:r>
      <w:r>
        <w:t>’) as indicated in Schedule 7</w:t>
      </w:r>
      <w:r w:rsidRPr="00433B39">
        <w:t xml:space="preserve"> </w:t>
      </w:r>
    </w:p>
    <w:p w14:paraId="71C71159" w14:textId="705A30F6" w:rsidR="00551CE9" w:rsidRDefault="00551CE9" w:rsidP="007226D1">
      <w:pPr>
        <w:pStyle w:val="FSBullet2"/>
        <w:spacing w:before="120"/>
      </w:pPr>
      <w:r w:rsidRPr="00433B39">
        <w:t xml:space="preserve">followed </w:t>
      </w:r>
      <w:r>
        <w:t xml:space="preserve">in brackets </w:t>
      </w:r>
      <w:r w:rsidRPr="00433B39">
        <w:t>by the name</w:t>
      </w:r>
      <w:r>
        <w:t xml:space="preserve"> </w:t>
      </w:r>
      <w:r w:rsidRPr="00433B39">
        <w:t xml:space="preserve">or code number </w:t>
      </w:r>
      <w:r>
        <w:t>of the substance</w:t>
      </w:r>
      <w:r w:rsidRPr="00433B39">
        <w:t xml:space="preserve"> </w:t>
      </w:r>
      <w:r>
        <w:t xml:space="preserve">as indicated in </w:t>
      </w:r>
      <w:r w:rsidRPr="00DA356C">
        <w:t>Schedule 8</w:t>
      </w:r>
      <w:r w:rsidR="007226D1" w:rsidRPr="00DA356C">
        <w:t xml:space="preserve"> – Food additive names and code numbers (for statement of ingredients)</w:t>
      </w:r>
      <w:r>
        <w:t>.</w:t>
      </w:r>
    </w:p>
    <w:p w14:paraId="7CF18421" w14:textId="77777777" w:rsidR="00551CE9" w:rsidRDefault="00551CE9" w:rsidP="00551CE9">
      <w:pPr>
        <w:pStyle w:val="FSBullet1"/>
        <w:numPr>
          <w:ilvl w:val="0"/>
          <w:numId w:val="0"/>
        </w:numPr>
        <w:ind w:left="567" w:hanging="567"/>
        <w:rPr>
          <w:rFonts w:cs="Times New Roman"/>
          <w:lang w:bidi="en-US"/>
        </w:rPr>
      </w:pPr>
    </w:p>
    <w:p w14:paraId="5866EF7B" w14:textId="0DC3DD81" w:rsidR="00551CE9" w:rsidRPr="00D15EF8" w:rsidRDefault="00551CE9" w:rsidP="00551CE9">
      <w:pPr>
        <w:pStyle w:val="FSBullet1"/>
        <w:rPr>
          <w:rFonts w:cs="Times New Roman"/>
          <w:lang w:bidi="en-US"/>
        </w:rPr>
      </w:pPr>
      <w:r w:rsidRPr="00886E69">
        <w:rPr>
          <w:rFonts w:cs="Times New Roman"/>
          <w:lang w:bidi="en-US"/>
        </w:rPr>
        <w:t>Otherwise</w:t>
      </w:r>
      <w:r>
        <w:rPr>
          <w:rFonts w:cs="Times New Roman"/>
          <w:lang w:bidi="en-US"/>
        </w:rPr>
        <w:t xml:space="preserve">, </w:t>
      </w:r>
      <w:r w:rsidRPr="00886E69">
        <w:rPr>
          <w:rFonts w:cs="Times New Roman"/>
          <w:lang w:bidi="en-US"/>
        </w:rPr>
        <w:t xml:space="preserve">the name of the substance as indicated in </w:t>
      </w:r>
      <w:r w:rsidRPr="00DA356C">
        <w:rPr>
          <w:rFonts w:cs="Times New Roman"/>
          <w:lang w:bidi="en-US"/>
        </w:rPr>
        <w:t>Schedule 8</w:t>
      </w:r>
      <w:r w:rsidR="00F879E2">
        <w:rPr>
          <w:rFonts w:cs="Times New Roman"/>
          <w:lang w:bidi="en-US"/>
        </w:rPr>
        <w:t xml:space="preserve"> is </w:t>
      </w:r>
      <w:r w:rsidR="00F879E2" w:rsidRPr="00433B39">
        <w:t>to be declared</w:t>
      </w:r>
      <w:r>
        <w:rPr>
          <w:rFonts w:cs="Times New Roman"/>
          <w:lang w:bidi="en-US"/>
        </w:rPr>
        <w:t>.</w:t>
      </w:r>
      <w:r w:rsidRPr="00D15EF8">
        <w:rPr>
          <w:rFonts w:cs="Times New Roman"/>
          <w:lang w:bidi="en-US"/>
        </w:rPr>
        <w:t xml:space="preserve"> </w:t>
      </w:r>
    </w:p>
    <w:p w14:paraId="7FFE2782" w14:textId="0E65A1FC" w:rsidR="00551CE9" w:rsidRDefault="00551CE9" w:rsidP="00551CE9">
      <w:pPr>
        <w:pStyle w:val="FSBullet1"/>
        <w:numPr>
          <w:ilvl w:val="0"/>
          <w:numId w:val="0"/>
        </w:numPr>
      </w:pPr>
    </w:p>
    <w:p w14:paraId="797AC144" w14:textId="57BF83ED" w:rsidR="00551CE9" w:rsidRDefault="00551CE9" w:rsidP="00551CE9">
      <w:pPr>
        <w:pStyle w:val="FSBullet1"/>
        <w:numPr>
          <w:ilvl w:val="0"/>
          <w:numId w:val="0"/>
        </w:numPr>
      </w:pPr>
      <w:r w:rsidRPr="00433B39">
        <w:t xml:space="preserve">These labelling provisions will </w:t>
      </w:r>
      <w:r>
        <w:t xml:space="preserve">apply to the use of </w:t>
      </w:r>
      <w:r w:rsidRPr="009F6F73">
        <w:t xml:space="preserve">polysorbate 20 in processed </w:t>
      </w:r>
      <w:r w:rsidR="004C3C5C">
        <w:t xml:space="preserve">meat and </w:t>
      </w:r>
      <w:r>
        <w:t>meat products</w:t>
      </w:r>
      <w:r w:rsidR="004C3C5C">
        <w:t>,</w:t>
      </w:r>
      <w:r>
        <w:t xml:space="preserve"> and processed fish and fish products, </w:t>
      </w:r>
      <w:r w:rsidRPr="00433B39">
        <w:t>allow</w:t>
      </w:r>
      <w:r>
        <w:t>ing</w:t>
      </w:r>
      <w:r w:rsidRPr="00433B39">
        <w:t xml:space="preserve"> consumers to identify whether </w:t>
      </w:r>
      <w:r>
        <w:t>this food additive is present in the food</w:t>
      </w:r>
      <w:r w:rsidRPr="00433B39">
        <w:t xml:space="preserve">. </w:t>
      </w:r>
    </w:p>
    <w:p w14:paraId="7555382C" w14:textId="77777777" w:rsidR="00551CE9" w:rsidRDefault="00551CE9" w:rsidP="00551CE9"/>
    <w:p w14:paraId="6158F488" w14:textId="3137CA43" w:rsidR="00551CE9" w:rsidRPr="00D14426" w:rsidRDefault="00551CE9" w:rsidP="00D14426">
      <w:pPr>
        <w:pStyle w:val="FSCtPara"/>
        <w:spacing w:before="0" w:after="0"/>
        <w:ind w:left="0" w:firstLine="0"/>
        <w:rPr>
          <w:sz w:val="22"/>
        </w:rPr>
      </w:pPr>
      <w:r w:rsidRPr="006174C2">
        <w:rPr>
          <w:sz w:val="22"/>
        </w:rPr>
        <w:t>There are some exemptions to the</w:t>
      </w:r>
      <w:r w:rsidR="007226D1">
        <w:rPr>
          <w:sz w:val="22"/>
        </w:rPr>
        <w:t xml:space="preserve"> above</w:t>
      </w:r>
      <w:r w:rsidRPr="006174C2">
        <w:rPr>
          <w:sz w:val="22"/>
        </w:rPr>
        <w:t xml:space="preserve"> requirements </w:t>
      </w:r>
      <w:r w:rsidR="007226D1">
        <w:rPr>
          <w:sz w:val="22"/>
        </w:rPr>
        <w:t>for</w:t>
      </w:r>
      <w:r w:rsidRPr="006174C2">
        <w:rPr>
          <w:sz w:val="22"/>
        </w:rPr>
        <w:t xml:space="preserve"> food</w:t>
      </w:r>
      <w:r w:rsidR="007226D1">
        <w:rPr>
          <w:sz w:val="22"/>
        </w:rPr>
        <w:t>s</w:t>
      </w:r>
      <w:r w:rsidRPr="006174C2">
        <w:rPr>
          <w:sz w:val="22"/>
        </w:rPr>
        <w:t xml:space="preserve"> for sale that </w:t>
      </w:r>
      <w:r w:rsidR="007226D1">
        <w:rPr>
          <w:sz w:val="22"/>
        </w:rPr>
        <w:t>are</w:t>
      </w:r>
      <w:r w:rsidRPr="006174C2">
        <w:rPr>
          <w:sz w:val="22"/>
        </w:rPr>
        <w:t xml:space="preserve"> not required to bear a label. These exemptions are set out in section 1.2.1—6</w:t>
      </w:r>
      <w:r>
        <w:rPr>
          <w:sz w:val="22"/>
        </w:rPr>
        <w:t xml:space="preserve"> in</w:t>
      </w:r>
      <w:r w:rsidRPr="006174C2">
        <w:rPr>
          <w:sz w:val="22"/>
        </w:rPr>
        <w:t xml:space="preserve"> </w:t>
      </w:r>
      <w:r w:rsidRPr="00DA356C">
        <w:rPr>
          <w:sz w:val="22"/>
        </w:rPr>
        <w:t>Standard 1.2.</w:t>
      </w:r>
      <w:r w:rsidR="00F879E2">
        <w:rPr>
          <w:sz w:val="22"/>
        </w:rPr>
        <w:t>1</w:t>
      </w:r>
      <w:r>
        <w:rPr>
          <w:sz w:val="22"/>
        </w:rPr>
        <w:t>,</w:t>
      </w:r>
      <w:r w:rsidRPr="006174C2">
        <w:rPr>
          <w:sz w:val="22"/>
        </w:rPr>
        <w:t xml:space="preserve"> </w:t>
      </w:r>
      <w:r>
        <w:rPr>
          <w:sz w:val="22"/>
        </w:rPr>
        <w:t>and include a</w:t>
      </w:r>
      <w:r w:rsidRPr="00026715">
        <w:rPr>
          <w:sz w:val="22"/>
        </w:rPr>
        <w:t xml:space="preserve"> food that is made and packaged on the</w:t>
      </w:r>
      <w:r>
        <w:rPr>
          <w:sz w:val="22"/>
        </w:rPr>
        <w:t xml:space="preserve"> premises from which it is sold,</w:t>
      </w:r>
      <w:r w:rsidRPr="00026715">
        <w:rPr>
          <w:sz w:val="22"/>
        </w:rPr>
        <w:t xml:space="preserve"> or</w:t>
      </w:r>
      <w:r>
        <w:rPr>
          <w:sz w:val="22"/>
        </w:rPr>
        <w:t xml:space="preserve"> i</w:t>
      </w:r>
      <w:r w:rsidRPr="00026715">
        <w:rPr>
          <w:sz w:val="22"/>
        </w:rPr>
        <w:t>s packaged i</w:t>
      </w:r>
      <w:r>
        <w:rPr>
          <w:sz w:val="22"/>
        </w:rPr>
        <w:t>n the presence of the purchaser</w:t>
      </w:r>
      <w:r w:rsidR="000D2B8F">
        <w:rPr>
          <w:sz w:val="22"/>
        </w:rPr>
        <w:t xml:space="preserve">, </w:t>
      </w:r>
      <w:r w:rsidR="000D2B8F" w:rsidRPr="00D14426">
        <w:rPr>
          <w:sz w:val="22"/>
        </w:rPr>
        <w:t>or is delivered packaged, and ready for consumption, at the express order of the purchaser</w:t>
      </w:r>
      <w:r w:rsidRPr="00D14426">
        <w:rPr>
          <w:sz w:val="22"/>
        </w:rPr>
        <w:t xml:space="preserve">. </w:t>
      </w:r>
    </w:p>
    <w:p w14:paraId="71249F62" w14:textId="200F8D3C" w:rsidR="000D2B8F" w:rsidRPr="00D14426" w:rsidRDefault="000D2B8F" w:rsidP="00D14426">
      <w:pPr>
        <w:pStyle w:val="FSCtPara"/>
        <w:spacing w:before="0" w:after="0"/>
        <w:rPr>
          <w:sz w:val="22"/>
        </w:rPr>
      </w:pPr>
    </w:p>
    <w:p w14:paraId="1AC4484E" w14:textId="3FB2220E" w:rsidR="007226D1" w:rsidRPr="00026715" w:rsidRDefault="00003E26" w:rsidP="00D14426">
      <w:pPr>
        <w:pStyle w:val="FSCtPara"/>
        <w:spacing w:before="0" w:after="0"/>
        <w:ind w:left="0" w:firstLine="0"/>
        <w:rPr>
          <w:sz w:val="22"/>
        </w:rPr>
      </w:pPr>
      <w:r>
        <w:rPr>
          <w:sz w:val="22"/>
        </w:rPr>
        <w:t>A</w:t>
      </w:r>
      <w:r w:rsidR="007226D1">
        <w:rPr>
          <w:sz w:val="22"/>
        </w:rPr>
        <w:t>ll of the above labelling requirements and exemptions apply in the same manner to the use of polysorbates 60, 65 and 80.</w:t>
      </w:r>
    </w:p>
    <w:p w14:paraId="2ABBBE1B" w14:textId="71A075E3" w:rsidR="0020640B" w:rsidRDefault="0020640B" w:rsidP="0020640B">
      <w:pPr>
        <w:pStyle w:val="Heading3"/>
      </w:pPr>
      <w:bookmarkStart w:id="48" w:name="_Toc516642381"/>
      <w:r>
        <w:t>2.2.3</w:t>
      </w:r>
      <w:r>
        <w:tab/>
        <w:t>Specifications</w:t>
      </w:r>
      <w:bookmarkEnd w:id="48"/>
    </w:p>
    <w:p w14:paraId="6F2ECDF7" w14:textId="7B63EF08" w:rsidR="0020640B" w:rsidRDefault="00096D56" w:rsidP="0020640B">
      <w:pPr>
        <w:rPr>
          <w:lang w:eastAsia="en-AU" w:bidi="ar-SA"/>
        </w:rPr>
      </w:pPr>
      <w:r>
        <w:rPr>
          <w:lang w:eastAsia="en-AU" w:bidi="ar-SA"/>
        </w:rPr>
        <w:t xml:space="preserve">Section 1.1.1—15 requires that permitted food additives (paragraph 1.1.1—15(1)(a)) need to comply with a specification within Schedule 3 </w:t>
      </w:r>
      <w:r w:rsidR="00DA356C">
        <w:rPr>
          <w:lang w:eastAsia="en-AU" w:bidi="ar-SA"/>
        </w:rPr>
        <w:t xml:space="preserve">– Identity </w:t>
      </w:r>
      <w:r>
        <w:rPr>
          <w:lang w:eastAsia="en-AU" w:bidi="ar-SA"/>
        </w:rPr>
        <w:t>and Purity. As noted in section 2.4.1 of SD1</w:t>
      </w:r>
      <w:r w:rsidR="00BA2AB3">
        <w:rPr>
          <w:lang w:eastAsia="en-AU" w:bidi="ar-SA"/>
        </w:rPr>
        <w:t>,</w:t>
      </w:r>
      <w:r>
        <w:rPr>
          <w:lang w:eastAsia="en-AU" w:bidi="ar-SA"/>
        </w:rPr>
        <w:t xml:space="preserve"> there are international specifications for the </w:t>
      </w:r>
      <w:r w:rsidR="00DA356C">
        <w:rPr>
          <w:lang w:eastAsia="en-AU" w:bidi="ar-SA"/>
        </w:rPr>
        <w:t xml:space="preserve">group </w:t>
      </w:r>
      <w:r>
        <w:rPr>
          <w:lang w:eastAsia="en-AU" w:bidi="ar-SA"/>
        </w:rPr>
        <w:t xml:space="preserve">polysorbate </w:t>
      </w:r>
      <w:r w:rsidR="00DA356C">
        <w:rPr>
          <w:lang w:eastAsia="en-AU" w:bidi="ar-SA"/>
        </w:rPr>
        <w:t>food additives</w:t>
      </w:r>
      <w:r>
        <w:rPr>
          <w:lang w:eastAsia="en-AU" w:bidi="ar-SA"/>
        </w:rPr>
        <w:t xml:space="preserve"> (which includes polysorbate 20). These specifications are primary sources within section S3—2. These primar</w:t>
      </w:r>
      <w:r w:rsidR="00A64FF1">
        <w:rPr>
          <w:lang w:eastAsia="en-AU" w:bidi="ar-SA"/>
        </w:rPr>
        <w:t>y sources of specifications are</w:t>
      </w:r>
      <w:r>
        <w:rPr>
          <w:lang w:eastAsia="en-AU" w:bidi="ar-SA"/>
        </w:rPr>
        <w:t xml:space="preserve"> JECFA (paragraph S3—2(1)(b)</w:t>
      </w:r>
      <w:r w:rsidR="0004400C">
        <w:rPr>
          <w:lang w:eastAsia="en-AU" w:bidi="ar-SA"/>
        </w:rPr>
        <w:t>)</w:t>
      </w:r>
      <w:r>
        <w:rPr>
          <w:lang w:eastAsia="en-AU" w:bidi="ar-SA"/>
        </w:rPr>
        <w:t>, Food Chemicals Codex (paragraph S3—2(1)(c)</w:t>
      </w:r>
      <w:r w:rsidR="0004400C">
        <w:rPr>
          <w:lang w:eastAsia="en-AU" w:bidi="ar-SA"/>
        </w:rPr>
        <w:t>)</w:t>
      </w:r>
      <w:r>
        <w:rPr>
          <w:lang w:eastAsia="en-AU" w:bidi="ar-SA"/>
        </w:rPr>
        <w:t xml:space="preserve"> and the European Commission (paragraph S3—2(1)(d)</w:t>
      </w:r>
      <w:r w:rsidR="0004400C">
        <w:rPr>
          <w:lang w:eastAsia="en-AU" w:bidi="ar-SA"/>
        </w:rPr>
        <w:t>)</w:t>
      </w:r>
      <w:r>
        <w:rPr>
          <w:lang w:eastAsia="en-AU" w:bidi="ar-SA"/>
        </w:rPr>
        <w:t xml:space="preserve">.  </w:t>
      </w:r>
    </w:p>
    <w:p w14:paraId="33D77ABB" w14:textId="0184EAB0" w:rsidR="0020640B" w:rsidRDefault="0020640B" w:rsidP="0020640B">
      <w:pPr>
        <w:pStyle w:val="Heading3"/>
      </w:pPr>
      <w:bookmarkStart w:id="49" w:name="_Toc516642382"/>
      <w:r>
        <w:t>2.2.4</w:t>
      </w:r>
      <w:r>
        <w:tab/>
        <w:t>Analytical methods</w:t>
      </w:r>
      <w:bookmarkEnd w:id="49"/>
    </w:p>
    <w:p w14:paraId="4E1EE3DF" w14:textId="04AD7619" w:rsidR="00A64FF1" w:rsidRPr="00A64FF1" w:rsidRDefault="00A64FF1" w:rsidP="00A64FF1">
      <w:pPr>
        <w:rPr>
          <w:lang w:eastAsia="en-AU" w:bidi="ar-SA"/>
        </w:rPr>
      </w:pPr>
      <w:r>
        <w:rPr>
          <w:lang w:eastAsia="en-AU" w:bidi="ar-SA"/>
        </w:rPr>
        <w:t>Section 2.3 of SD1 notes there are a number of suitable analytical methods for the detection and quantification of polysorbates in food.</w:t>
      </w:r>
    </w:p>
    <w:p w14:paraId="5A37B776" w14:textId="7BDD0769" w:rsidR="00E520FE" w:rsidRPr="00932F14" w:rsidRDefault="00E520FE" w:rsidP="00E520FE">
      <w:pPr>
        <w:pStyle w:val="Heading2"/>
      </w:pPr>
      <w:bookmarkStart w:id="50" w:name="_Toc300933435"/>
      <w:bookmarkStart w:id="51" w:name="_Toc516642383"/>
      <w:r>
        <w:t>2.</w:t>
      </w:r>
      <w:r w:rsidR="009F6F73">
        <w:t>3</w:t>
      </w:r>
      <w:r>
        <w:tab/>
        <w:t>Risk communication</w:t>
      </w:r>
      <w:bookmarkEnd w:id="50"/>
      <w:bookmarkEnd w:id="51"/>
      <w:r>
        <w:t xml:space="preserve"> </w:t>
      </w:r>
    </w:p>
    <w:p w14:paraId="26860EDF" w14:textId="7D34A5BF" w:rsidR="00E520FE" w:rsidRPr="00924533" w:rsidRDefault="00E520FE" w:rsidP="00022DBC">
      <w:pPr>
        <w:pStyle w:val="Heading3"/>
        <w:rPr>
          <w:color w:val="auto"/>
        </w:rPr>
      </w:pPr>
      <w:bookmarkStart w:id="52" w:name="_Toc300933437"/>
      <w:bookmarkStart w:id="53" w:name="_Toc516642384"/>
      <w:bookmarkStart w:id="54" w:name="_Toc286391012"/>
      <w:r w:rsidRPr="00924533">
        <w:rPr>
          <w:color w:val="auto"/>
        </w:rPr>
        <w:t>2.</w:t>
      </w:r>
      <w:r w:rsidR="001526C3" w:rsidRPr="00924533">
        <w:rPr>
          <w:color w:val="auto"/>
        </w:rPr>
        <w:t>3</w:t>
      </w:r>
      <w:r w:rsidRPr="00924533">
        <w:rPr>
          <w:color w:val="auto"/>
        </w:rPr>
        <w:t>.1</w:t>
      </w:r>
      <w:r w:rsidRPr="00924533">
        <w:rPr>
          <w:color w:val="auto"/>
        </w:rPr>
        <w:tab/>
        <w:t>Consultation</w:t>
      </w:r>
      <w:bookmarkEnd w:id="52"/>
      <w:bookmarkEnd w:id="53"/>
    </w:p>
    <w:p w14:paraId="26A2FA78" w14:textId="4337DD2C" w:rsidR="00924533" w:rsidRPr="00535F8F" w:rsidRDefault="00924533" w:rsidP="00924533">
      <w:bookmarkStart w:id="55" w:name="_Toc300761912"/>
      <w:bookmarkStart w:id="56" w:name="_Toc300933439"/>
      <w:bookmarkEnd w:id="54"/>
      <w:r w:rsidRPr="00535F8F">
        <w:rPr>
          <w:szCs w:val="22"/>
        </w:rPr>
        <w:t xml:space="preserve">Consultation is a key part of FSANZ’s standards development process. </w:t>
      </w:r>
      <w:r w:rsidRPr="00535F8F">
        <w:t xml:space="preserve">FSANZ developed and applied a basic </w:t>
      </w:r>
      <w:r w:rsidR="00B81E55">
        <w:t>communication strategy to this a</w:t>
      </w:r>
      <w:r w:rsidRPr="00535F8F">
        <w:t>pplication. All calls for submissions are notified via the Food Standards Notification Circular, media release, FSANZ’s social media tools and Food Standards News.</w:t>
      </w:r>
    </w:p>
    <w:p w14:paraId="556F8929" w14:textId="77777777" w:rsidR="00924533" w:rsidRDefault="00924533" w:rsidP="00924533"/>
    <w:p w14:paraId="32EDD33F" w14:textId="245F1D9E" w:rsidR="00924533" w:rsidRPr="00535F8F" w:rsidRDefault="00924533" w:rsidP="00924533">
      <w:r w:rsidRPr="00535F8F">
        <w:t xml:space="preserve">The process by which FSANZ considers standard development matters is open, </w:t>
      </w:r>
      <w:r w:rsidRPr="00535F8F">
        <w:lastRenderedPageBreak/>
        <w:t xml:space="preserve">accountable, consultative and transparent. Public submissions are called to obtain the views of interested parties on issues raised by the </w:t>
      </w:r>
      <w:r w:rsidR="00B81E55">
        <w:t>a</w:t>
      </w:r>
      <w:r w:rsidRPr="00535F8F">
        <w:t xml:space="preserve">pplication and the impacts of regulatory options. </w:t>
      </w:r>
    </w:p>
    <w:p w14:paraId="68CDDA32" w14:textId="77777777" w:rsidR="00924533" w:rsidRDefault="00924533" w:rsidP="00924533"/>
    <w:p w14:paraId="3C38A6DA" w14:textId="77777777" w:rsidR="00924533" w:rsidRDefault="00924533" w:rsidP="00924533">
      <w:pPr>
        <w:rPr>
          <w:b/>
          <w:bCs/>
        </w:rPr>
      </w:pPr>
      <w:r w:rsidRPr="00535F8F">
        <w:t>The draft variation will be considered for approval by the FSANZ Board taking into account public comments received from this call for submissions.</w:t>
      </w:r>
    </w:p>
    <w:p w14:paraId="191CA945" w14:textId="77D0CD44" w:rsidR="00E520FE" w:rsidRPr="00022DBC" w:rsidRDefault="00022DBC" w:rsidP="00022DBC">
      <w:pPr>
        <w:pStyle w:val="Heading3"/>
      </w:pPr>
      <w:bookmarkStart w:id="57" w:name="_Toc516642385"/>
      <w:r w:rsidRPr="00022DBC">
        <w:t>2.</w:t>
      </w:r>
      <w:r w:rsidR="00924533">
        <w:t>3</w:t>
      </w:r>
      <w:r w:rsidRPr="00022DBC">
        <w:t>.2</w:t>
      </w:r>
      <w:r w:rsidR="00E520FE" w:rsidRPr="00022DBC">
        <w:tab/>
        <w:t>World Trade Organization (WTO)</w:t>
      </w:r>
      <w:bookmarkEnd w:id="55"/>
      <w:bookmarkEnd w:id="56"/>
      <w:bookmarkEnd w:id="57"/>
    </w:p>
    <w:p w14:paraId="7B967F33"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0485110" w14:textId="77777777" w:rsidR="00845E8F" w:rsidRPr="005D0A9C" w:rsidRDefault="00845E8F" w:rsidP="00E520FE">
      <w:pPr>
        <w:tabs>
          <w:tab w:val="left" w:pos="1560"/>
        </w:tabs>
      </w:pPr>
    </w:p>
    <w:p w14:paraId="667D333B" w14:textId="1475104B" w:rsidR="00E520FE" w:rsidRPr="005D0A9C" w:rsidRDefault="00E520FE" w:rsidP="00E520FE">
      <w:pPr>
        <w:tabs>
          <w:tab w:val="left" w:pos="1560"/>
        </w:tabs>
        <w:rPr>
          <w:rFonts w:cs="Arial"/>
          <w:iCs/>
        </w:rPr>
      </w:pPr>
      <w:r w:rsidRPr="005D0A9C">
        <w:rPr>
          <w:rFonts w:cs="Arial"/>
        </w:rPr>
        <w:t xml:space="preserve">There are relevant international standards and amending the Code to </w:t>
      </w:r>
      <w:r w:rsidR="00845E8F" w:rsidRPr="005D0A9C">
        <w:rPr>
          <w:rFonts w:cs="Arial"/>
        </w:rPr>
        <w:t>permit polysorbate 20 as a</w:t>
      </w:r>
      <w:r w:rsidR="005D0A9C" w:rsidRPr="005D0A9C">
        <w:rPr>
          <w:rFonts w:cs="Arial"/>
        </w:rPr>
        <w:t>n</w:t>
      </w:r>
      <w:r w:rsidR="00845E8F" w:rsidRPr="005D0A9C">
        <w:rPr>
          <w:rFonts w:cs="Arial"/>
        </w:rPr>
        <w:t xml:space="preserve"> emulsifier food additive</w:t>
      </w:r>
      <w:r w:rsidRPr="005D0A9C">
        <w:rPr>
          <w:rFonts w:cs="Arial"/>
        </w:rPr>
        <w:t xml:space="preserve"> is unlikely to have a significant effect on international trade as </w:t>
      </w:r>
      <w:r w:rsidR="00845E8F" w:rsidRPr="005D0A9C">
        <w:rPr>
          <w:rFonts w:cs="Arial"/>
        </w:rPr>
        <w:t xml:space="preserve">the substance is permitted as a </w:t>
      </w:r>
      <w:r w:rsidR="005D0A9C" w:rsidRPr="005D0A9C">
        <w:rPr>
          <w:rFonts w:cs="Arial"/>
        </w:rPr>
        <w:t>food additive</w:t>
      </w:r>
      <w:r w:rsidR="00E115C1">
        <w:rPr>
          <w:rFonts w:cs="Arial"/>
        </w:rPr>
        <w:t xml:space="preserve"> in many food categories</w:t>
      </w:r>
      <w:r w:rsidR="005D0A9C" w:rsidRPr="005D0A9C">
        <w:rPr>
          <w:rFonts w:cs="Arial"/>
        </w:rPr>
        <w:t xml:space="preserve"> </w:t>
      </w:r>
      <w:r w:rsidR="00845E8F" w:rsidRPr="005D0A9C">
        <w:rPr>
          <w:rFonts w:cs="Arial"/>
        </w:rPr>
        <w:t>in the Codex Alimentarius General Standard for Food Additives</w:t>
      </w:r>
      <w:r w:rsidR="005D0A9C" w:rsidRPr="005D0A9C">
        <w:rPr>
          <w:rFonts w:cs="Arial"/>
        </w:rPr>
        <w:t xml:space="preserve"> and in many countr</w:t>
      </w:r>
      <w:r w:rsidR="00825A61">
        <w:rPr>
          <w:rFonts w:cs="Arial"/>
        </w:rPr>
        <w:t>y’</w:t>
      </w:r>
      <w:r w:rsidR="005D0A9C" w:rsidRPr="005D0A9C">
        <w:rPr>
          <w:rFonts w:cs="Arial"/>
        </w:rPr>
        <w:t>s food regulations</w:t>
      </w:r>
      <w:r w:rsidRPr="005D0A9C">
        <w:rPr>
          <w:rFonts w:cs="Arial"/>
        </w:rPr>
        <w:t xml:space="preserve">. </w:t>
      </w:r>
      <w:r w:rsidRPr="005D0A9C">
        <w:rPr>
          <w:rFonts w:cs="Arial"/>
          <w:iCs/>
        </w:rPr>
        <w:t xml:space="preserve">Therefore, a notification to the WTO under </w:t>
      </w:r>
      <w:r w:rsidRPr="005D0A9C">
        <w:rPr>
          <w:rFonts w:cs="Arial"/>
        </w:rPr>
        <w:t>Australia’s and New Zealand’s</w:t>
      </w:r>
      <w:r w:rsidRPr="005D0A9C">
        <w:rPr>
          <w:rFonts w:cs="Arial"/>
          <w:iCs/>
        </w:rPr>
        <w:t xml:space="preserve"> obligations under the WTO Technical Barriers to Trade or </w:t>
      </w:r>
      <w:r w:rsidR="00D04529" w:rsidRPr="005D0A9C">
        <w:rPr>
          <w:rFonts w:cs="Arial"/>
          <w:iCs/>
        </w:rPr>
        <w:t xml:space="preserve">Application of </w:t>
      </w:r>
      <w:r w:rsidRPr="005D0A9C">
        <w:rPr>
          <w:rFonts w:cs="Arial"/>
          <w:iCs/>
        </w:rPr>
        <w:t>Sanitary and Phytosanitary Measures Agreement was not considered necessary.</w:t>
      </w:r>
    </w:p>
    <w:p w14:paraId="70AC1288" w14:textId="528D2D08" w:rsidR="00E520FE" w:rsidRDefault="00022DBC" w:rsidP="00022DBC">
      <w:pPr>
        <w:pStyle w:val="Heading2"/>
      </w:pPr>
      <w:bookmarkStart w:id="58" w:name="_Toc516642386"/>
      <w:r>
        <w:t>2.</w:t>
      </w:r>
      <w:r w:rsidR="005D0A9C">
        <w:t>4</w:t>
      </w:r>
      <w:r>
        <w:tab/>
        <w:t>FSANZ Act assessment requirements</w:t>
      </w:r>
      <w:bookmarkEnd w:id="58"/>
    </w:p>
    <w:p w14:paraId="144FDEF3" w14:textId="0E5EE74B" w:rsidR="00726C2F" w:rsidRPr="005D0A9C" w:rsidRDefault="00B81E55" w:rsidP="00726C2F">
      <w:r>
        <w:t>When assessing this a</w:t>
      </w:r>
      <w:r w:rsidR="005D0A9C" w:rsidRPr="005D0A9C">
        <w:t>pplication</w:t>
      </w:r>
      <w:r w:rsidR="00726C2F" w:rsidRPr="005D0A9C">
        <w:t xml:space="preserve"> and the subsequent development of a food regulatory measure, FSANZ has had regard to the </w:t>
      </w:r>
      <w:r w:rsidR="00726C2F" w:rsidRPr="005D0A9C" w:rsidDel="00932F14">
        <w:t xml:space="preserve">following </w:t>
      </w:r>
      <w:r w:rsidR="00726C2F" w:rsidRPr="005D0A9C">
        <w:t xml:space="preserve">matters </w:t>
      </w:r>
      <w:r w:rsidR="00F879E2">
        <w:t>as required by</w:t>
      </w:r>
      <w:r w:rsidR="00F879E2" w:rsidRPr="005D0A9C">
        <w:t xml:space="preserve"> </w:t>
      </w:r>
      <w:r w:rsidR="00726C2F" w:rsidRPr="005D0A9C">
        <w:t xml:space="preserve">section </w:t>
      </w:r>
      <w:r w:rsidR="005D0A9C" w:rsidRPr="005D0A9C">
        <w:t>29</w:t>
      </w:r>
      <w:r w:rsidR="00726C2F" w:rsidRPr="005D0A9C">
        <w:t xml:space="preserve"> of the FSANZ Act:</w:t>
      </w:r>
    </w:p>
    <w:p w14:paraId="5728C733" w14:textId="3CCC87DE" w:rsidR="00726C2F" w:rsidRPr="005D0A9C" w:rsidRDefault="00726C2F" w:rsidP="00726C2F">
      <w:pPr>
        <w:pStyle w:val="Heading3"/>
        <w:rPr>
          <w:color w:val="auto"/>
        </w:rPr>
      </w:pPr>
      <w:bookmarkStart w:id="59" w:name="_Toc516642387"/>
      <w:r>
        <w:t>2.</w:t>
      </w:r>
      <w:r w:rsidR="005D0A9C">
        <w:t>4</w:t>
      </w:r>
      <w:r>
        <w:t>.1</w:t>
      </w:r>
      <w:r>
        <w:tab/>
      </w:r>
      <w:r w:rsidRPr="005D0A9C">
        <w:rPr>
          <w:color w:val="auto"/>
        </w:rPr>
        <w:t>Section 29</w:t>
      </w:r>
      <w:bookmarkEnd w:id="59"/>
    </w:p>
    <w:p w14:paraId="526ECED6" w14:textId="452B9966" w:rsidR="00726C2F" w:rsidRDefault="00195254" w:rsidP="00726C2F">
      <w:pPr>
        <w:pStyle w:val="Heading4"/>
      </w:pPr>
      <w:r>
        <w:t>2.</w:t>
      </w:r>
      <w:r w:rsidR="005D0A9C">
        <w:t>4</w:t>
      </w:r>
      <w:r>
        <w:t>.1.1</w:t>
      </w:r>
      <w:r>
        <w:tab/>
        <w:t>Co</w:t>
      </w:r>
      <w:r>
        <w:rPr>
          <w:lang w:val="en-AU"/>
        </w:rPr>
        <w:t>nsideration of costs and benefits</w:t>
      </w:r>
    </w:p>
    <w:p w14:paraId="6C3A8B35" w14:textId="79FDCA64" w:rsidR="005D0A9C" w:rsidRDefault="005D0A9C" w:rsidP="00726C2F">
      <w:r>
        <w:t>FSANZ is required to consider the impact of various regulatory and non-regulatory options on all sectors of the community, especially relevant stakeholde</w:t>
      </w:r>
      <w:r w:rsidR="00B81E55">
        <w:t>rs who may be affected by this a</w:t>
      </w:r>
      <w:r>
        <w:t xml:space="preserve">pplication. </w:t>
      </w:r>
      <w:r w:rsidR="006D2CEC">
        <w:t>The benefits and costs associated with the proposed amendments to the Code were analysed using regulatory impact principles. The level of analysis was comme</w:t>
      </w:r>
      <w:r w:rsidR="00B81E55">
        <w:t>nsurate with the nature of the a</w:t>
      </w:r>
      <w:r w:rsidR="006D2CEC">
        <w:t>pplication and significance of the impacts.</w:t>
      </w:r>
    </w:p>
    <w:p w14:paraId="3774E92D" w14:textId="77777777" w:rsidR="006D2CEC" w:rsidRDefault="006D2CEC" w:rsidP="00726C2F"/>
    <w:p w14:paraId="6D579E1C" w14:textId="76EB6C03" w:rsidR="006D2CEC" w:rsidRDefault="006D2CEC" w:rsidP="00726C2F">
      <w:r>
        <w:t>Two regulatory options were considered:</w:t>
      </w:r>
    </w:p>
    <w:p w14:paraId="0204382B" w14:textId="77777777" w:rsidR="006D2CEC" w:rsidRDefault="006D2CEC" w:rsidP="00726C2F"/>
    <w:p w14:paraId="3B5F689A" w14:textId="3C432840" w:rsidR="006D2CEC" w:rsidRDefault="006D2CEC" w:rsidP="006D2CEC">
      <w:pPr>
        <w:pStyle w:val="ListParagraph"/>
        <w:numPr>
          <w:ilvl w:val="0"/>
          <w:numId w:val="9"/>
        </w:numPr>
        <w:ind w:left="567" w:hanging="567"/>
      </w:pPr>
      <w:r>
        <w:t>prepare a draft variation to permit the food additive, polysorbate 20</w:t>
      </w:r>
    </w:p>
    <w:p w14:paraId="28721959" w14:textId="0E8DC18D" w:rsidR="006D2CEC" w:rsidRDefault="00B81E55" w:rsidP="006D2CEC">
      <w:pPr>
        <w:pStyle w:val="ListParagraph"/>
        <w:numPr>
          <w:ilvl w:val="0"/>
          <w:numId w:val="9"/>
        </w:numPr>
        <w:ind w:left="567" w:hanging="567"/>
      </w:pPr>
      <w:r>
        <w:t>reject the a</w:t>
      </w:r>
      <w:r w:rsidR="006D2CEC">
        <w:t>pplication.</w:t>
      </w:r>
    </w:p>
    <w:p w14:paraId="715035B4" w14:textId="77777777" w:rsidR="005D0A9C" w:rsidRDefault="005D0A9C" w:rsidP="00726C2F"/>
    <w:p w14:paraId="404C9D95" w14:textId="141402B5" w:rsidR="006D2CEC" w:rsidRPr="00231528" w:rsidRDefault="006D2CEC" w:rsidP="006D2CEC">
      <w:pPr>
        <w:rPr>
          <w:bCs/>
        </w:rPr>
      </w:pPr>
      <w:r w:rsidRPr="00231528">
        <w:rPr>
          <w:bCs/>
        </w:rPr>
        <w:t xml:space="preserve">The Office of Best Practice Regulation, in a letter dated 24 November 2010 (reference 12065), provided a standing exemption from the need to assess if a Regulation Impact Statement is required for </w:t>
      </w:r>
      <w:r w:rsidR="00B81E55">
        <w:rPr>
          <w:bCs/>
        </w:rPr>
        <w:t>a</w:t>
      </w:r>
      <w:r w:rsidRPr="00231528">
        <w:rPr>
          <w:bCs/>
        </w:rPr>
        <w:t xml:space="preserve">pplications relating to </w:t>
      </w:r>
      <w:r>
        <w:rPr>
          <w:bCs/>
        </w:rPr>
        <w:t>food additives</w:t>
      </w:r>
      <w:r w:rsidRPr="00231528">
        <w:rPr>
          <w:bCs/>
        </w:rPr>
        <w:t>, as they are machinery in nature and their use is voluntary. However, FSANZ undertook a limited impact analysis.</w:t>
      </w:r>
    </w:p>
    <w:p w14:paraId="564628BB" w14:textId="77777777" w:rsidR="006D2CEC" w:rsidRPr="00231528" w:rsidRDefault="006D2CEC" w:rsidP="006D2CEC">
      <w:pPr>
        <w:rPr>
          <w:bCs/>
        </w:rPr>
      </w:pPr>
    </w:p>
    <w:p w14:paraId="5C957256" w14:textId="77777777" w:rsidR="006D2CEC" w:rsidRPr="00231528" w:rsidRDefault="006D2CEC" w:rsidP="006D2CEC">
      <w:pPr>
        <w:rPr>
          <w:szCs w:val="22"/>
        </w:rPr>
      </w:pPr>
      <w:r w:rsidRPr="00231528">
        <w:t xml:space="preserve">A consideration of the costs and benefits of the regulatory options </w:t>
      </w:r>
      <w:r w:rsidRPr="00231528">
        <w:rPr>
          <w:szCs w:val="22"/>
        </w:rPr>
        <w:t>was not intended to be an exhaustive, quantitative economic analysis of the options and, in fact, most of the effects that were considered cannot be assigned a dollar value.</w:t>
      </w:r>
    </w:p>
    <w:p w14:paraId="6C50365D" w14:textId="30C8CA83" w:rsidR="006D2CEC" w:rsidRPr="00231528" w:rsidRDefault="006D2CEC" w:rsidP="006D2CEC">
      <w:pPr>
        <w:rPr>
          <w:szCs w:val="22"/>
        </w:rPr>
      </w:pPr>
    </w:p>
    <w:p w14:paraId="5C4287EB" w14:textId="77777777" w:rsidR="006D2CEC" w:rsidRPr="00231528" w:rsidRDefault="006D2CEC" w:rsidP="006D2CEC">
      <w:pPr>
        <w:rPr>
          <w:szCs w:val="22"/>
        </w:rPr>
      </w:pPr>
      <w:r w:rsidRPr="00231528">
        <w:rPr>
          <w:szCs w:val="22"/>
        </w:rPr>
        <w:t>Rather, the assessment sought to highlight the qualitative effects of criteria that were relevant to each option. These criteria are deliberately limited to those involving broad areas such as trade, consumer information and compliance.</w:t>
      </w:r>
    </w:p>
    <w:p w14:paraId="046BDA38" w14:textId="0AA01F58" w:rsidR="006D2CEC" w:rsidRPr="00BF40F0" w:rsidRDefault="006D2CEC" w:rsidP="006D2CEC">
      <w:pPr>
        <w:keepNext/>
        <w:keepLines/>
        <w:spacing w:before="240" w:after="240"/>
        <w:ind w:left="851" w:hanging="851"/>
        <w:outlineLvl w:val="3"/>
        <w:rPr>
          <w:b/>
          <w:bCs/>
          <w:i/>
          <w:iCs/>
          <w:szCs w:val="22"/>
          <w:lang w:bidi="ar-SA"/>
        </w:rPr>
      </w:pPr>
      <w:r w:rsidRPr="00BF40F0">
        <w:rPr>
          <w:b/>
          <w:bCs/>
          <w:i/>
          <w:iCs/>
          <w:szCs w:val="22"/>
          <w:lang w:bidi="ar-SA"/>
        </w:rPr>
        <w:lastRenderedPageBreak/>
        <w:t xml:space="preserve">Option 1 – Prepare a draft variation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869"/>
      </w:tblGrid>
      <w:tr w:rsidR="006D2CEC" w:rsidRPr="00BF40F0" w14:paraId="2DACEE82" w14:textId="77777777" w:rsidTr="00BF40F0">
        <w:trPr>
          <w:tblHeader/>
        </w:trPr>
        <w:tc>
          <w:tcPr>
            <w:tcW w:w="0" w:type="auto"/>
            <w:shd w:val="clear" w:color="auto" w:fill="616571"/>
          </w:tcPr>
          <w:p w14:paraId="389F489F" w14:textId="77777777" w:rsidR="006D2CEC" w:rsidRPr="00BF40F0" w:rsidRDefault="006D2CEC" w:rsidP="0011085C">
            <w:pPr>
              <w:keepNext/>
              <w:keepLines/>
              <w:spacing w:before="120" w:after="120"/>
              <w:rPr>
                <w:rFonts w:cs="Arial"/>
                <w:b/>
                <w:color w:val="FFFFFF" w:themeColor="background1"/>
                <w:sz w:val="20"/>
                <w:szCs w:val="20"/>
              </w:rPr>
            </w:pPr>
            <w:r w:rsidRPr="00BF40F0">
              <w:rPr>
                <w:rFonts w:cs="Arial"/>
                <w:b/>
                <w:color w:val="FFFFFF" w:themeColor="background1"/>
                <w:sz w:val="20"/>
                <w:szCs w:val="20"/>
              </w:rPr>
              <w:t>Sector</w:t>
            </w:r>
          </w:p>
        </w:tc>
        <w:tc>
          <w:tcPr>
            <w:tcW w:w="0" w:type="auto"/>
            <w:shd w:val="clear" w:color="auto" w:fill="616571"/>
          </w:tcPr>
          <w:p w14:paraId="51B1D108" w14:textId="77777777" w:rsidR="006D2CEC" w:rsidRPr="00BF40F0" w:rsidRDefault="006D2CEC" w:rsidP="0011085C">
            <w:pPr>
              <w:keepNext/>
              <w:keepLines/>
              <w:spacing w:before="120" w:after="120"/>
              <w:rPr>
                <w:rFonts w:cs="Arial"/>
                <w:b/>
                <w:color w:val="FFFFFF" w:themeColor="background1"/>
                <w:sz w:val="20"/>
                <w:szCs w:val="20"/>
              </w:rPr>
            </w:pPr>
            <w:r w:rsidRPr="00BF40F0">
              <w:rPr>
                <w:rFonts w:cs="Arial"/>
                <w:b/>
                <w:color w:val="FFFFFF" w:themeColor="background1"/>
                <w:sz w:val="20"/>
                <w:szCs w:val="20"/>
              </w:rPr>
              <w:t>Costs or benefits to sector</w:t>
            </w:r>
          </w:p>
        </w:tc>
      </w:tr>
      <w:tr w:rsidR="006D2CEC" w:rsidRPr="00BF40F0" w14:paraId="3B6155EB" w14:textId="77777777" w:rsidTr="00BF40F0">
        <w:tc>
          <w:tcPr>
            <w:tcW w:w="0" w:type="auto"/>
            <w:shd w:val="clear" w:color="auto" w:fill="ECECEC"/>
          </w:tcPr>
          <w:p w14:paraId="5E46B975" w14:textId="77777777" w:rsidR="006D2CEC" w:rsidRPr="00BF40F0" w:rsidRDefault="006D2CEC" w:rsidP="0011085C">
            <w:pPr>
              <w:spacing w:before="120" w:after="120"/>
              <w:rPr>
                <w:rFonts w:cs="Arial"/>
                <w:sz w:val="20"/>
                <w:szCs w:val="20"/>
              </w:rPr>
            </w:pPr>
            <w:r w:rsidRPr="00BF40F0">
              <w:rPr>
                <w:rFonts w:cs="Arial"/>
                <w:sz w:val="20"/>
                <w:szCs w:val="20"/>
              </w:rPr>
              <w:t>Consumers</w:t>
            </w:r>
          </w:p>
        </w:tc>
        <w:tc>
          <w:tcPr>
            <w:tcW w:w="0" w:type="auto"/>
            <w:shd w:val="clear" w:color="auto" w:fill="ECECEC"/>
          </w:tcPr>
          <w:p w14:paraId="5A459B3D" w14:textId="442F5453" w:rsidR="006D2CEC" w:rsidRPr="00BF40F0" w:rsidRDefault="006D2CEC" w:rsidP="0011085C">
            <w:pPr>
              <w:keepNext/>
              <w:keepLines/>
              <w:spacing w:before="120" w:after="120"/>
              <w:rPr>
                <w:rFonts w:cs="Arial"/>
                <w:sz w:val="20"/>
                <w:szCs w:val="20"/>
              </w:rPr>
            </w:pPr>
            <w:r w:rsidRPr="00BF40F0">
              <w:rPr>
                <w:rFonts w:cs="Arial"/>
                <w:sz w:val="20"/>
                <w:szCs w:val="20"/>
              </w:rPr>
              <w:t xml:space="preserve">There are no </w:t>
            </w:r>
            <w:r w:rsidR="008D52EE">
              <w:rPr>
                <w:rFonts w:cs="Arial"/>
                <w:sz w:val="20"/>
                <w:szCs w:val="20"/>
              </w:rPr>
              <w:t xml:space="preserve">direct </w:t>
            </w:r>
            <w:r w:rsidRPr="00BF40F0">
              <w:rPr>
                <w:rFonts w:cs="Arial"/>
                <w:sz w:val="20"/>
                <w:szCs w:val="20"/>
              </w:rPr>
              <w:t xml:space="preserve">costs or benefits to consumers associated with this option. </w:t>
            </w:r>
          </w:p>
        </w:tc>
      </w:tr>
      <w:tr w:rsidR="006D2CEC" w:rsidRPr="00BF40F0" w14:paraId="02B504BC" w14:textId="77777777" w:rsidTr="00BF40F0">
        <w:trPr>
          <w:trHeight w:val="886"/>
        </w:trPr>
        <w:tc>
          <w:tcPr>
            <w:tcW w:w="0" w:type="auto"/>
          </w:tcPr>
          <w:p w14:paraId="2029DB49" w14:textId="77777777" w:rsidR="006D2CEC" w:rsidRPr="00BF40F0" w:rsidRDefault="006D2CEC" w:rsidP="0011085C">
            <w:pPr>
              <w:spacing w:before="120" w:after="120"/>
              <w:rPr>
                <w:rFonts w:cs="Arial"/>
                <w:sz w:val="20"/>
                <w:szCs w:val="20"/>
              </w:rPr>
            </w:pPr>
            <w:r w:rsidRPr="00BF40F0">
              <w:rPr>
                <w:rFonts w:cs="Arial"/>
                <w:sz w:val="20"/>
                <w:szCs w:val="20"/>
              </w:rPr>
              <w:t>Industry</w:t>
            </w:r>
          </w:p>
        </w:tc>
        <w:tc>
          <w:tcPr>
            <w:tcW w:w="0" w:type="auto"/>
          </w:tcPr>
          <w:p w14:paraId="00CE3ADE" w14:textId="77FE7759" w:rsidR="006D2CEC" w:rsidRPr="00BF40F0" w:rsidRDefault="006D2CEC" w:rsidP="0011085C">
            <w:pPr>
              <w:keepNext/>
              <w:keepLines/>
              <w:spacing w:before="120" w:after="120"/>
              <w:rPr>
                <w:rFonts w:cs="Arial"/>
                <w:sz w:val="20"/>
                <w:szCs w:val="20"/>
              </w:rPr>
            </w:pPr>
            <w:r w:rsidRPr="00BF40F0">
              <w:rPr>
                <w:rFonts w:cs="Arial"/>
                <w:sz w:val="20"/>
                <w:szCs w:val="20"/>
              </w:rPr>
              <w:t xml:space="preserve">There are benefits to certain food businesses and processes from using this emulsifier over those of currently permitted emulsifiers. </w:t>
            </w:r>
            <w:r w:rsidR="00C50D78">
              <w:rPr>
                <w:rFonts w:cs="Arial"/>
                <w:sz w:val="20"/>
                <w:szCs w:val="20"/>
              </w:rPr>
              <w:t>See, for example, section 2.4.3 below.</w:t>
            </w:r>
          </w:p>
        </w:tc>
      </w:tr>
      <w:tr w:rsidR="006D2CEC" w:rsidRPr="00BF40F0" w14:paraId="404204CF" w14:textId="77777777" w:rsidTr="00BF40F0">
        <w:tc>
          <w:tcPr>
            <w:tcW w:w="0" w:type="auto"/>
            <w:shd w:val="clear" w:color="auto" w:fill="ECECEC"/>
          </w:tcPr>
          <w:p w14:paraId="7583489B" w14:textId="77777777" w:rsidR="006D2CEC" w:rsidRPr="00BF40F0" w:rsidRDefault="006D2CEC" w:rsidP="0011085C">
            <w:pPr>
              <w:spacing w:before="120" w:after="120"/>
              <w:rPr>
                <w:rFonts w:cs="Arial"/>
                <w:sz w:val="20"/>
                <w:szCs w:val="20"/>
              </w:rPr>
            </w:pPr>
            <w:r w:rsidRPr="00BF40F0">
              <w:rPr>
                <w:rFonts w:cs="Arial"/>
                <w:sz w:val="20"/>
                <w:szCs w:val="20"/>
              </w:rPr>
              <w:t>Governments</w:t>
            </w:r>
          </w:p>
        </w:tc>
        <w:tc>
          <w:tcPr>
            <w:tcW w:w="0" w:type="auto"/>
            <w:shd w:val="clear" w:color="auto" w:fill="ECECEC"/>
          </w:tcPr>
          <w:p w14:paraId="4885635F" w14:textId="574D7EE1" w:rsidR="006D2CEC" w:rsidRPr="00BF40F0" w:rsidRDefault="006D2CEC" w:rsidP="0011085C">
            <w:pPr>
              <w:keepNext/>
              <w:keepLines/>
              <w:spacing w:before="120" w:after="120"/>
              <w:rPr>
                <w:rFonts w:cs="Arial"/>
                <w:sz w:val="20"/>
                <w:szCs w:val="20"/>
              </w:rPr>
            </w:pPr>
            <w:r w:rsidRPr="00BF40F0">
              <w:rPr>
                <w:rFonts w:cs="Arial"/>
                <w:sz w:val="20"/>
                <w:szCs w:val="20"/>
              </w:rPr>
              <w:t>There are no</w:t>
            </w:r>
            <w:r w:rsidR="008D52EE">
              <w:rPr>
                <w:rFonts w:cs="Arial"/>
                <w:sz w:val="20"/>
                <w:szCs w:val="20"/>
              </w:rPr>
              <w:t xml:space="preserve"> direct</w:t>
            </w:r>
            <w:r w:rsidRPr="00BF40F0">
              <w:rPr>
                <w:rFonts w:cs="Arial"/>
                <w:sz w:val="20"/>
                <w:szCs w:val="20"/>
              </w:rPr>
              <w:t xml:space="preserve"> costs or benefits to governments associated with this option.</w:t>
            </w:r>
          </w:p>
        </w:tc>
      </w:tr>
    </w:tbl>
    <w:p w14:paraId="2A575301" w14:textId="77777777" w:rsidR="006D2CEC" w:rsidRPr="00BF40F0" w:rsidRDefault="006D2CEC" w:rsidP="006D2CEC">
      <w:pPr>
        <w:keepNext/>
        <w:spacing w:before="240" w:after="240"/>
        <w:ind w:left="851" w:hanging="851"/>
        <w:outlineLvl w:val="3"/>
        <w:rPr>
          <w:b/>
          <w:bCs/>
          <w:i/>
          <w:iCs/>
          <w:szCs w:val="22"/>
          <w:lang w:bidi="ar-SA"/>
        </w:rPr>
      </w:pPr>
      <w:r w:rsidRPr="00BF40F0">
        <w:rPr>
          <w:b/>
          <w:bCs/>
          <w:i/>
          <w:iCs/>
          <w:szCs w:val="22"/>
          <w:lang w:bidi="ar-SA"/>
        </w:rPr>
        <w:t>Option 2 – Reject the Application</w:t>
      </w: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905"/>
      </w:tblGrid>
      <w:tr w:rsidR="006D2CEC" w:rsidRPr="00BF40F0" w14:paraId="0BF29E12" w14:textId="77777777" w:rsidTr="00BF40F0">
        <w:tc>
          <w:tcPr>
            <w:tcW w:w="0" w:type="auto"/>
            <w:shd w:val="clear" w:color="auto" w:fill="616571"/>
          </w:tcPr>
          <w:p w14:paraId="7318173D" w14:textId="77777777" w:rsidR="006D2CEC" w:rsidRPr="00BF40F0" w:rsidRDefault="006D2CEC" w:rsidP="0011085C">
            <w:pPr>
              <w:keepNext/>
              <w:keepLines/>
              <w:spacing w:before="120" w:after="120"/>
              <w:rPr>
                <w:rFonts w:cs="Arial"/>
                <w:b/>
                <w:color w:val="FFFFFF" w:themeColor="background1"/>
                <w:sz w:val="20"/>
                <w:szCs w:val="20"/>
              </w:rPr>
            </w:pPr>
            <w:bookmarkStart w:id="60" w:name="_Toc120358590"/>
            <w:bookmarkStart w:id="61" w:name="_Toc294176162"/>
            <w:r w:rsidRPr="00BF40F0">
              <w:rPr>
                <w:rFonts w:cs="Arial"/>
                <w:b/>
                <w:color w:val="FFFFFF" w:themeColor="background1"/>
                <w:sz w:val="20"/>
                <w:szCs w:val="20"/>
              </w:rPr>
              <w:t>Sector</w:t>
            </w:r>
          </w:p>
        </w:tc>
        <w:tc>
          <w:tcPr>
            <w:tcW w:w="7905" w:type="dxa"/>
            <w:shd w:val="clear" w:color="auto" w:fill="616571"/>
          </w:tcPr>
          <w:p w14:paraId="7E40831B" w14:textId="77777777" w:rsidR="006D2CEC" w:rsidRPr="00BF40F0" w:rsidRDefault="006D2CEC" w:rsidP="0011085C">
            <w:pPr>
              <w:keepNext/>
              <w:keepLines/>
              <w:spacing w:before="120" w:after="120"/>
              <w:rPr>
                <w:rFonts w:cs="Arial"/>
                <w:b/>
                <w:color w:val="FFFFFF" w:themeColor="background1"/>
                <w:sz w:val="20"/>
                <w:szCs w:val="20"/>
              </w:rPr>
            </w:pPr>
            <w:r w:rsidRPr="00BF40F0">
              <w:rPr>
                <w:rFonts w:cs="Arial"/>
                <w:b/>
                <w:color w:val="FFFFFF" w:themeColor="background1"/>
                <w:sz w:val="20"/>
                <w:szCs w:val="20"/>
              </w:rPr>
              <w:t>Costs or benefits to sector</w:t>
            </w:r>
          </w:p>
        </w:tc>
      </w:tr>
      <w:tr w:rsidR="006D2CEC" w:rsidRPr="00BF40F0" w14:paraId="35577F2B" w14:textId="77777777" w:rsidTr="00BF40F0">
        <w:tc>
          <w:tcPr>
            <w:tcW w:w="0" w:type="auto"/>
            <w:shd w:val="clear" w:color="auto" w:fill="ECECEC"/>
          </w:tcPr>
          <w:p w14:paraId="75A6C45F" w14:textId="77777777" w:rsidR="006D2CEC" w:rsidRPr="00BF40F0" w:rsidRDefault="006D2CEC" w:rsidP="0011085C">
            <w:pPr>
              <w:spacing w:before="120" w:after="120"/>
              <w:rPr>
                <w:rFonts w:cs="Arial"/>
                <w:sz w:val="20"/>
                <w:szCs w:val="20"/>
              </w:rPr>
            </w:pPr>
            <w:r w:rsidRPr="00BF40F0">
              <w:rPr>
                <w:rFonts w:cs="Arial"/>
                <w:sz w:val="20"/>
                <w:szCs w:val="20"/>
              </w:rPr>
              <w:t>Consumers</w:t>
            </w:r>
          </w:p>
        </w:tc>
        <w:tc>
          <w:tcPr>
            <w:tcW w:w="7905" w:type="dxa"/>
            <w:shd w:val="clear" w:color="auto" w:fill="ECECEC"/>
          </w:tcPr>
          <w:p w14:paraId="19C85452" w14:textId="16211136" w:rsidR="006D2CEC" w:rsidRPr="00BF40F0" w:rsidRDefault="006D2CEC" w:rsidP="0011085C">
            <w:pPr>
              <w:spacing w:before="120" w:after="120"/>
              <w:rPr>
                <w:rFonts w:cs="Arial"/>
                <w:sz w:val="20"/>
                <w:szCs w:val="20"/>
              </w:rPr>
            </w:pPr>
            <w:r w:rsidRPr="00BF40F0">
              <w:rPr>
                <w:rFonts w:cs="Arial"/>
                <w:sz w:val="20"/>
                <w:szCs w:val="20"/>
              </w:rPr>
              <w:t xml:space="preserve">There are no </w:t>
            </w:r>
            <w:r w:rsidR="009F0C86">
              <w:rPr>
                <w:rFonts w:cs="Arial"/>
                <w:sz w:val="20"/>
                <w:szCs w:val="20"/>
              </w:rPr>
              <w:t xml:space="preserve">direct </w:t>
            </w:r>
            <w:r w:rsidRPr="00BF40F0">
              <w:rPr>
                <w:rFonts w:cs="Arial"/>
                <w:sz w:val="20"/>
                <w:szCs w:val="20"/>
              </w:rPr>
              <w:t>benefits or costs to consumers of this option.</w:t>
            </w:r>
          </w:p>
        </w:tc>
      </w:tr>
      <w:tr w:rsidR="006D2CEC" w:rsidRPr="00BF40F0" w14:paraId="1C931C54" w14:textId="77777777" w:rsidTr="00BF40F0">
        <w:tc>
          <w:tcPr>
            <w:tcW w:w="0" w:type="auto"/>
          </w:tcPr>
          <w:p w14:paraId="78B662FE" w14:textId="77777777" w:rsidR="006D2CEC" w:rsidRPr="00BF40F0" w:rsidRDefault="006D2CEC" w:rsidP="0011085C">
            <w:pPr>
              <w:spacing w:before="120" w:after="120"/>
              <w:rPr>
                <w:rFonts w:cs="Arial"/>
                <w:sz w:val="20"/>
                <w:szCs w:val="20"/>
              </w:rPr>
            </w:pPr>
            <w:r w:rsidRPr="00BF40F0">
              <w:rPr>
                <w:rFonts w:cs="Arial"/>
                <w:sz w:val="20"/>
                <w:szCs w:val="20"/>
              </w:rPr>
              <w:t>Industry</w:t>
            </w:r>
          </w:p>
        </w:tc>
        <w:tc>
          <w:tcPr>
            <w:tcW w:w="7905" w:type="dxa"/>
          </w:tcPr>
          <w:p w14:paraId="0800AA54" w14:textId="542923B2" w:rsidR="006D2CEC" w:rsidRPr="00BF40F0" w:rsidRDefault="006D2CEC" w:rsidP="006D2CEC">
            <w:pPr>
              <w:spacing w:before="120" w:after="120"/>
              <w:rPr>
                <w:rFonts w:cs="Arial"/>
                <w:sz w:val="20"/>
                <w:szCs w:val="20"/>
              </w:rPr>
            </w:pPr>
            <w:r w:rsidRPr="00BF40F0">
              <w:rPr>
                <w:rFonts w:cs="Arial"/>
                <w:sz w:val="20"/>
                <w:szCs w:val="20"/>
              </w:rPr>
              <w:t xml:space="preserve">There are no benefits </w:t>
            </w:r>
            <w:r w:rsidR="00E115C1">
              <w:rPr>
                <w:rFonts w:cs="Arial"/>
                <w:sz w:val="20"/>
                <w:szCs w:val="20"/>
              </w:rPr>
              <w:t xml:space="preserve">but some costs </w:t>
            </w:r>
            <w:r w:rsidRPr="00BF40F0">
              <w:rPr>
                <w:rFonts w:cs="Arial"/>
                <w:sz w:val="20"/>
                <w:szCs w:val="20"/>
              </w:rPr>
              <w:t>to industry from this option, as an alternative emulsifier which has claimed advantages over the currently permitted emulsifiers for certain purposes will not be available.</w:t>
            </w:r>
          </w:p>
        </w:tc>
      </w:tr>
      <w:tr w:rsidR="006D2CEC" w:rsidRPr="00BF40F0" w14:paraId="5FC133C3" w14:textId="77777777" w:rsidTr="00BF40F0">
        <w:tc>
          <w:tcPr>
            <w:tcW w:w="0" w:type="auto"/>
            <w:shd w:val="clear" w:color="auto" w:fill="ECECEC"/>
          </w:tcPr>
          <w:p w14:paraId="52B284C0" w14:textId="77777777" w:rsidR="006D2CEC" w:rsidRPr="00BF40F0" w:rsidRDefault="006D2CEC" w:rsidP="0011085C">
            <w:pPr>
              <w:spacing w:before="120" w:after="120"/>
              <w:rPr>
                <w:rFonts w:cs="Arial"/>
                <w:sz w:val="20"/>
                <w:szCs w:val="20"/>
              </w:rPr>
            </w:pPr>
            <w:r w:rsidRPr="00BF40F0">
              <w:rPr>
                <w:rFonts w:cs="Arial"/>
                <w:sz w:val="20"/>
                <w:szCs w:val="20"/>
              </w:rPr>
              <w:t>Governments</w:t>
            </w:r>
          </w:p>
        </w:tc>
        <w:tc>
          <w:tcPr>
            <w:tcW w:w="7905" w:type="dxa"/>
            <w:shd w:val="clear" w:color="auto" w:fill="ECECEC"/>
          </w:tcPr>
          <w:p w14:paraId="259BA978" w14:textId="77777777" w:rsidR="006D2CEC" w:rsidRPr="00BF40F0" w:rsidRDefault="006D2CEC" w:rsidP="0011085C">
            <w:pPr>
              <w:spacing w:before="120" w:after="120"/>
              <w:rPr>
                <w:rFonts w:cs="Arial"/>
                <w:sz w:val="20"/>
                <w:szCs w:val="20"/>
              </w:rPr>
            </w:pPr>
            <w:r w:rsidRPr="00BF40F0">
              <w:rPr>
                <w:rFonts w:cs="Arial"/>
                <w:sz w:val="20"/>
                <w:szCs w:val="20"/>
              </w:rPr>
              <w:t>There are no benefits or costs to governments for this option.</w:t>
            </w:r>
          </w:p>
        </w:tc>
      </w:tr>
      <w:bookmarkEnd w:id="60"/>
      <w:bookmarkEnd w:id="61"/>
    </w:tbl>
    <w:p w14:paraId="0B7CC53B" w14:textId="7DAAC16A" w:rsidR="006D2CEC" w:rsidRDefault="006D2CEC" w:rsidP="00726C2F"/>
    <w:p w14:paraId="0001C362" w14:textId="72B4B01F"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the </w:t>
      </w:r>
      <w:r w:rsidR="00B81E55">
        <w:t>a</w:t>
      </w:r>
      <w:r w:rsidR="005D0A9C" w:rsidRPr="006D2CEC">
        <w:t>pplication</w:t>
      </w:r>
      <w:r w:rsidRPr="00914030">
        <w:rPr>
          <w:color w:val="FF0000"/>
        </w:rPr>
        <w:t xml:space="preserve">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39F7AA9E" w14:textId="40AA7BE4" w:rsidR="00726C2F" w:rsidRDefault="00726C2F" w:rsidP="00726C2F">
      <w:pPr>
        <w:pStyle w:val="Heading4"/>
      </w:pPr>
      <w:r>
        <w:t>2.</w:t>
      </w:r>
      <w:r w:rsidR="001B33EA">
        <w:t>4</w:t>
      </w:r>
      <w:r>
        <w:t>.1.2</w:t>
      </w:r>
      <w:r>
        <w:tab/>
        <w:t>Other measures</w:t>
      </w:r>
    </w:p>
    <w:p w14:paraId="6D59463D" w14:textId="296555E4" w:rsidR="00726C2F" w:rsidRPr="001B33EA"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00B81E55">
        <w:t>the a</w:t>
      </w:r>
      <w:r w:rsidRPr="001B33EA">
        <w:t>pplication.</w:t>
      </w:r>
    </w:p>
    <w:p w14:paraId="14E88002" w14:textId="720BE14B" w:rsidR="00726C2F" w:rsidRDefault="008B0075" w:rsidP="008B0075">
      <w:pPr>
        <w:pStyle w:val="Heading4"/>
      </w:pPr>
      <w:r>
        <w:t>2.</w:t>
      </w:r>
      <w:r w:rsidR="001B33EA">
        <w:t>4</w:t>
      </w:r>
      <w:r>
        <w:t>.1.3</w:t>
      </w:r>
      <w:r>
        <w:tab/>
        <w:t>A</w:t>
      </w:r>
      <w:r w:rsidR="00726C2F" w:rsidRPr="00914030">
        <w:t>ny relevant New Zealand standards</w:t>
      </w:r>
    </w:p>
    <w:p w14:paraId="36838B25" w14:textId="05106243" w:rsidR="008B0075" w:rsidRDefault="008D0E20" w:rsidP="008D0E20">
      <w:pPr>
        <w:rPr>
          <w:lang w:bidi="ar-SA"/>
        </w:rPr>
      </w:pPr>
      <w:r>
        <w:rPr>
          <w:lang w:bidi="ar-SA"/>
        </w:rPr>
        <w:t>S</w:t>
      </w:r>
      <w:r w:rsidR="00F879E2">
        <w:rPr>
          <w:lang w:bidi="ar-SA"/>
        </w:rPr>
        <w:t>tandards 1.1.1, 1.2.4 and 1.3.1 and S</w:t>
      </w:r>
      <w:r>
        <w:rPr>
          <w:lang w:bidi="ar-SA"/>
        </w:rPr>
        <w:t>chedule</w:t>
      </w:r>
      <w:r w:rsidR="00F879E2">
        <w:rPr>
          <w:lang w:bidi="ar-SA"/>
        </w:rPr>
        <w:t>s 8 and</w:t>
      </w:r>
      <w:r>
        <w:rPr>
          <w:lang w:bidi="ar-SA"/>
        </w:rPr>
        <w:t xml:space="preserve"> 15 appl</w:t>
      </w:r>
      <w:r w:rsidR="00F879E2">
        <w:rPr>
          <w:lang w:bidi="ar-SA"/>
        </w:rPr>
        <w:t>y</w:t>
      </w:r>
      <w:r>
        <w:rPr>
          <w:lang w:bidi="ar-SA"/>
        </w:rPr>
        <w:t xml:space="preserve"> in both Australia and New Zealand. </w:t>
      </w:r>
      <w:r w:rsidR="008B0075">
        <w:rPr>
          <w:lang w:bidi="ar-SA"/>
        </w:rPr>
        <w:t xml:space="preserve">There are no relevant New Zealand </w:t>
      </w:r>
      <w:r w:rsidR="00404E45">
        <w:rPr>
          <w:lang w:bidi="ar-SA"/>
        </w:rPr>
        <w:t xml:space="preserve">only </w:t>
      </w:r>
      <w:r w:rsidR="008B0075">
        <w:rPr>
          <w:lang w:bidi="ar-SA"/>
        </w:rPr>
        <w:t>Standards.</w:t>
      </w:r>
      <w:r w:rsidR="00404E45">
        <w:rPr>
          <w:lang w:bidi="ar-SA"/>
        </w:rPr>
        <w:t xml:space="preserve"> </w:t>
      </w:r>
    </w:p>
    <w:p w14:paraId="6F7DC9AE" w14:textId="29FDEEBC" w:rsidR="00726C2F" w:rsidRPr="00914030" w:rsidRDefault="00BE3818" w:rsidP="00BE3818">
      <w:pPr>
        <w:pStyle w:val="Heading4"/>
      </w:pPr>
      <w:r>
        <w:t>2.</w:t>
      </w:r>
      <w:r w:rsidR="001B33EA">
        <w:t>4</w:t>
      </w:r>
      <w:r>
        <w:t>.1.4</w:t>
      </w:r>
      <w:r>
        <w:tab/>
      </w:r>
      <w:r w:rsidR="0027513D">
        <w:t>A</w:t>
      </w:r>
      <w:r>
        <w:t>ny other relevant matters</w:t>
      </w:r>
    </w:p>
    <w:p w14:paraId="528298E5" w14:textId="77777777" w:rsidR="00BE3818" w:rsidRDefault="008B5567" w:rsidP="00BE3818">
      <w:pPr>
        <w:rPr>
          <w:lang w:bidi="ar-SA"/>
        </w:rPr>
      </w:pPr>
      <w:r>
        <w:t>Other relevant matters are considered below</w:t>
      </w:r>
      <w:r w:rsidR="00BE3818">
        <w:rPr>
          <w:lang w:bidi="ar-SA"/>
        </w:rPr>
        <w:t>.</w:t>
      </w:r>
      <w:r>
        <w:t xml:space="preserve"> </w:t>
      </w:r>
    </w:p>
    <w:p w14:paraId="77306760" w14:textId="12DD843A" w:rsidR="00022DBC" w:rsidRPr="00914030" w:rsidRDefault="00BE3818" w:rsidP="00022DBC">
      <w:pPr>
        <w:pStyle w:val="Heading3"/>
      </w:pPr>
      <w:bookmarkStart w:id="62" w:name="_Toc516642388"/>
      <w:bookmarkStart w:id="63" w:name="_Toc300761897"/>
      <w:bookmarkStart w:id="64" w:name="_Toc300933440"/>
      <w:r>
        <w:t>2.</w:t>
      </w:r>
      <w:r w:rsidR="001B33EA">
        <w:t>4</w:t>
      </w:r>
      <w:r>
        <w:t>.2</w:t>
      </w:r>
      <w:r w:rsidR="00022DBC" w:rsidRPr="00914030">
        <w:tab/>
      </w:r>
      <w:r>
        <w:t>Subsection 18(1)</w:t>
      </w:r>
      <w:bookmarkEnd w:id="62"/>
      <w:r>
        <w:t xml:space="preserve"> </w:t>
      </w:r>
      <w:bookmarkEnd w:id="63"/>
      <w:bookmarkEnd w:id="64"/>
    </w:p>
    <w:p w14:paraId="16FAB414" w14:textId="6AD464A5" w:rsidR="00022DBC" w:rsidRPr="00914030" w:rsidRDefault="00022DBC" w:rsidP="00022DBC">
      <w:r w:rsidRPr="00914030">
        <w:rPr>
          <w:rFonts w:cs="Arial"/>
        </w:rPr>
        <w:t xml:space="preserve">FSANZ has also </w:t>
      </w:r>
      <w:r w:rsidRPr="00914030">
        <w:t xml:space="preserve">considered the three objectives </w:t>
      </w:r>
      <w:r w:rsidR="00F879E2">
        <w:t xml:space="preserve">listed </w:t>
      </w:r>
      <w:r w:rsidRPr="00914030">
        <w:t xml:space="preserve">in subsection 18(1) of the </w:t>
      </w:r>
      <w:r>
        <w:t xml:space="preserve">FSANZ Act </w:t>
      </w:r>
      <w:r w:rsidR="00F879E2">
        <w:t xml:space="preserve">in its </w:t>
      </w:r>
      <w:r>
        <w:t>assessment.</w:t>
      </w:r>
    </w:p>
    <w:p w14:paraId="2ADB33D1" w14:textId="78EE38B0" w:rsidR="00022DBC" w:rsidRPr="00914030" w:rsidRDefault="00BE3818" w:rsidP="00022DBC">
      <w:pPr>
        <w:pStyle w:val="Heading4"/>
        <w:rPr>
          <w:lang w:eastAsia="en-AU"/>
        </w:rPr>
      </w:pPr>
      <w:bookmarkStart w:id="65" w:name="_Toc297029117"/>
      <w:bookmarkStart w:id="66" w:name="_Toc300761898"/>
      <w:bookmarkStart w:id="67" w:name="_Toc300933441"/>
      <w:r>
        <w:rPr>
          <w:lang w:eastAsia="en-AU"/>
        </w:rPr>
        <w:t>2.</w:t>
      </w:r>
      <w:r w:rsidR="001B33EA">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5"/>
      <w:bookmarkEnd w:id="66"/>
      <w:bookmarkEnd w:id="67"/>
    </w:p>
    <w:p w14:paraId="365F9685" w14:textId="2BC7EFF0" w:rsidR="00022DBC" w:rsidRPr="008D0E20" w:rsidRDefault="008D0E20" w:rsidP="00022DBC">
      <w:r>
        <w:t xml:space="preserve">FSANZ has undertaken a safety assessment (SD1) and concluded there are no public health and safety concerns with permitting the use of polysorbate 20 </w:t>
      </w:r>
      <w:r w:rsidRPr="00C44DD5">
        <w:t xml:space="preserve">in the production of processed </w:t>
      </w:r>
      <w:r w:rsidR="00FD52F0">
        <w:t xml:space="preserve">meat and </w:t>
      </w:r>
      <w:r w:rsidRPr="00C44DD5">
        <w:t>meat products</w:t>
      </w:r>
      <w:r w:rsidR="00292A5B">
        <w:t>,</w:t>
      </w:r>
      <w:r w:rsidRPr="00C44DD5">
        <w:t xml:space="preserve"> and processed fish and fish products</w:t>
      </w:r>
      <w:r>
        <w:t xml:space="preserve">. </w:t>
      </w:r>
    </w:p>
    <w:p w14:paraId="0C1E2BA2" w14:textId="4F7557E6" w:rsidR="00022DBC" w:rsidRPr="00914030" w:rsidRDefault="00BE3818" w:rsidP="00022DBC">
      <w:pPr>
        <w:pStyle w:val="Heading4"/>
        <w:rPr>
          <w:lang w:eastAsia="en-AU"/>
        </w:rPr>
      </w:pPr>
      <w:bookmarkStart w:id="68" w:name="_Toc300761899"/>
      <w:bookmarkStart w:id="69" w:name="_Toc300933442"/>
      <w:r>
        <w:rPr>
          <w:lang w:eastAsia="en-AU"/>
        </w:rPr>
        <w:lastRenderedPageBreak/>
        <w:t>2.</w:t>
      </w:r>
      <w:r w:rsidR="001B33EA">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8"/>
      <w:bookmarkEnd w:id="69"/>
    </w:p>
    <w:p w14:paraId="7C7CABFB" w14:textId="3A905719" w:rsidR="00022DBC" w:rsidRPr="00DE3478" w:rsidRDefault="00DE3478" w:rsidP="00022DBC">
      <w:r w:rsidRPr="00DE3478">
        <w:t>The labelling requirements for polysorbate 20 as a food additive are discussed in section 2.2.2 – Labelling considerations.</w:t>
      </w:r>
      <w:r w:rsidR="005C2861">
        <w:t xml:space="preserve"> These requirements provide information </w:t>
      </w:r>
      <w:r w:rsidR="00730B9E">
        <w:t>to enable consumer</w:t>
      </w:r>
      <w:r w:rsidR="00404E45">
        <w:t>s</w:t>
      </w:r>
      <w:r w:rsidR="00730B9E">
        <w:t xml:space="preserve"> to make informed choices.</w:t>
      </w:r>
      <w:r w:rsidR="00404E45">
        <w:t xml:space="preserve"> </w:t>
      </w:r>
    </w:p>
    <w:p w14:paraId="55DEBCFC" w14:textId="62CAC67A" w:rsidR="00022DBC" w:rsidRPr="00914030" w:rsidRDefault="00BE3818" w:rsidP="00022DBC">
      <w:pPr>
        <w:pStyle w:val="Heading4"/>
        <w:rPr>
          <w:lang w:eastAsia="en-AU"/>
        </w:rPr>
      </w:pPr>
      <w:bookmarkStart w:id="70" w:name="_Toc300761900"/>
      <w:bookmarkStart w:id="71" w:name="_Toc300933443"/>
      <w:r>
        <w:rPr>
          <w:lang w:eastAsia="en-AU"/>
        </w:rPr>
        <w:t>2.</w:t>
      </w:r>
      <w:r w:rsidR="001B33EA">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0"/>
      <w:bookmarkEnd w:id="71"/>
    </w:p>
    <w:p w14:paraId="5D04F2AD" w14:textId="239061B2" w:rsidR="00022DBC" w:rsidRPr="00DE3478" w:rsidRDefault="00DE3478" w:rsidP="00022DBC">
      <w:r w:rsidRPr="00DE3478">
        <w:t xml:space="preserve">There are </w:t>
      </w:r>
      <w:r w:rsidR="00B81E55">
        <w:t>no issues identified with this a</w:t>
      </w:r>
      <w:r w:rsidRPr="00DE3478">
        <w:t>pplication relevant to this objective.</w:t>
      </w:r>
    </w:p>
    <w:p w14:paraId="21DEBC9A" w14:textId="0410105E" w:rsidR="00022DBC" w:rsidRPr="00914030" w:rsidRDefault="00B51E03" w:rsidP="00B51E03">
      <w:pPr>
        <w:pStyle w:val="Heading3"/>
      </w:pPr>
      <w:bookmarkStart w:id="72" w:name="_Toc300761901"/>
      <w:bookmarkStart w:id="73" w:name="_Toc300933444"/>
      <w:bookmarkStart w:id="74" w:name="_Toc516642389"/>
      <w:r>
        <w:t>2.</w:t>
      </w:r>
      <w:r w:rsidR="001B33EA">
        <w:t>4</w:t>
      </w:r>
      <w:r>
        <w:t>.3</w:t>
      </w:r>
      <w:r w:rsidR="00022DBC" w:rsidRPr="00914030">
        <w:tab/>
        <w:t xml:space="preserve">Subsection 18(2) </w:t>
      </w:r>
      <w:bookmarkEnd w:id="72"/>
      <w:bookmarkEnd w:id="73"/>
      <w:r w:rsidR="00022DBC" w:rsidRPr="00914030">
        <w:t>considerations</w:t>
      </w:r>
      <w:bookmarkEnd w:id="74"/>
    </w:p>
    <w:p w14:paraId="78F62D0B" w14:textId="77777777" w:rsidR="00022DBC" w:rsidRPr="00914030" w:rsidRDefault="00022DBC" w:rsidP="00022DBC">
      <w:pPr>
        <w:rPr>
          <w:rFonts w:cs="Arial"/>
        </w:rPr>
      </w:pPr>
      <w:r w:rsidRPr="00914030">
        <w:rPr>
          <w:rFonts w:cs="Arial"/>
        </w:rPr>
        <w:t>FSANZ has also had regard to:</w:t>
      </w:r>
    </w:p>
    <w:p w14:paraId="172AFBAE" w14:textId="77777777" w:rsidR="00022DBC" w:rsidRPr="00914030" w:rsidRDefault="00022DBC" w:rsidP="00022DBC">
      <w:pPr>
        <w:rPr>
          <w:rFonts w:cs="Arial"/>
        </w:rPr>
      </w:pPr>
    </w:p>
    <w:p w14:paraId="6705FF47"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45E135D7" w14:textId="77777777" w:rsidR="00DE3478" w:rsidRDefault="00DE3478" w:rsidP="008828D9">
      <w:pPr>
        <w:rPr>
          <w:lang w:bidi="ar-SA"/>
        </w:rPr>
      </w:pPr>
    </w:p>
    <w:p w14:paraId="6C1F220E" w14:textId="061CA57C" w:rsidR="008828D9" w:rsidRDefault="00DE3478" w:rsidP="008828D9">
      <w:pPr>
        <w:rPr>
          <w:lang w:bidi="ar-SA"/>
        </w:rPr>
      </w:pPr>
      <w:r w:rsidRPr="00DE3478">
        <w:rPr>
          <w:lang w:bidi="ar-SA"/>
        </w:rPr>
        <w:t xml:space="preserve">FSANZ has used the best available scientific evidence to conduct the risk analysis, which is provided in SD1. The </w:t>
      </w:r>
      <w:r w:rsidR="00B81E55">
        <w:rPr>
          <w:lang w:bidi="ar-SA"/>
        </w:rPr>
        <w:t>a</w:t>
      </w:r>
      <w:r w:rsidRPr="00DE3478">
        <w:rPr>
          <w:lang w:bidi="ar-SA"/>
        </w:rPr>
        <w:t xml:space="preserve">pplicant submitted a dossier of scientific studies as part of their </w:t>
      </w:r>
      <w:r w:rsidR="00B81E55">
        <w:rPr>
          <w:lang w:bidi="ar-SA"/>
        </w:rPr>
        <w:t>a</w:t>
      </w:r>
      <w:r w:rsidRPr="00DE3478">
        <w:rPr>
          <w:lang w:bidi="ar-SA"/>
        </w:rPr>
        <w:t xml:space="preserve">pplication. Other technical information, including scientific literature, </w:t>
      </w:r>
      <w:r w:rsidR="00B81E55">
        <w:rPr>
          <w:lang w:bidi="ar-SA"/>
        </w:rPr>
        <w:t>was also used in assessing the ap</w:t>
      </w:r>
      <w:r w:rsidRPr="00DE3478">
        <w:rPr>
          <w:lang w:bidi="ar-SA"/>
        </w:rPr>
        <w:t>plication.</w:t>
      </w:r>
    </w:p>
    <w:p w14:paraId="6774A211" w14:textId="77777777" w:rsidR="008828D9" w:rsidRPr="008828D9" w:rsidRDefault="008828D9" w:rsidP="008828D9">
      <w:pPr>
        <w:rPr>
          <w:lang w:bidi="ar-SA"/>
        </w:rPr>
      </w:pPr>
    </w:p>
    <w:p w14:paraId="007A427E" w14:textId="77777777" w:rsidR="00022DBC" w:rsidRPr="008828D9" w:rsidRDefault="00022DBC" w:rsidP="00022DBC">
      <w:pPr>
        <w:pStyle w:val="FSBullet1"/>
        <w:rPr>
          <w:b/>
        </w:rPr>
      </w:pPr>
      <w:r w:rsidRPr="008828D9">
        <w:rPr>
          <w:b/>
        </w:rPr>
        <w:t>the promotion of consistency between domestic and international food standards</w:t>
      </w:r>
    </w:p>
    <w:p w14:paraId="6D559252" w14:textId="77777777" w:rsidR="008828D9" w:rsidRDefault="008828D9" w:rsidP="008828D9">
      <w:pPr>
        <w:rPr>
          <w:lang w:bidi="ar-SA"/>
        </w:rPr>
      </w:pPr>
    </w:p>
    <w:p w14:paraId="06DB36A0" w14:textId="70DCF271" w:rsidR="008828D9" w:rsidRPr="00DE3478" w:rsidRDefault="00DE3478" w:rsidP="008828D9">
      <w:r w:rsidRPr="00DE3478">
        <w:t>Polysorbate 20 is permitted as a food additive in a number countr</w:t>
      </w:r>
      <w:r w:rsidR="00D20E5F">
        <w:t>y’</w:t>
      </w:r>
      <w:r w:rsidRPr="00DE3478">
        <w:t xml:space="preserve">s food regulations, as well as in the Codex </w:t>
      </w:r>
      <w:r w:rsidR="00C44DD5">
        <w:t>GSFA</w:t>
      </w:r>
      <w:r w:rsidRPr="00DE3478">
        <w:t xml:space="preserve">, as part of the </w:t>
      </w:r>
      <w:r w:rsidR="00D20E5F">
        <w:t xml:space="preserve">group of </w:t>
      </w:r>
      <w:r w:rsidRPr="00DE3478">
        <w:t xml:space="preserve">polysorbate </w:t>
      </w:r>
      <w:r w:rsidR="00D20E5F">
        <w:t>food additives</w:t>
      </w:r>
      <w:r w:rsidRPr="00DE3478">
        <w:t xml:space="preserve"> </w:t>
      </w:r>
      <w:r w:rsidR="009F00AB">
        <w:t>(see section 1.3.1)</w:t>
      </w:r>
      <w:r w:rsidRPr="00DE3478">
        <w:t>. Permitting the use of polysorbate 20 for the proposed purpose will promote consistency of food regulations between Australia and New Zealand and international standards.</w:t>
      </w:r>
    </w:p>
    <w:p w14:paraId="22CB471B" w14:textId="77777777" w:rsidR="008828D9" w:rsidRPr="008828D9" w:rsidRDefault="008828D9" w:rsidP="008828D9">
      <w:pPr>
        <w:rPr>
          <w:lang w:bidi="ar-SA"/>
        </w:rPr>
      </w:pPr>
    </w:p>
    <w:p w14:paraId="6B73AC60" w14:textId="77777777" w:rsidR="00022DBC" w:rsidRPr="008828D9" w:rsidRDefault="00022DBC" w:rsidP="00022DBC">
      <w:pPr>
        <w:pStyle w:val="FSBullet1"/>
        <w:rPr>
          <w:b/>
        </w:rPr>
      </w:pPr>
      <w:r w:rsidRPr="008828D9">
        <w:rPr>
          <w:b/>
        </w:rPr>
        <w:t>the desirability of an efficient and internationally competitive food industry</w:t>
      </w:r>
    </w:p>
    <w:p w14:paraId="4FA8C959" w14:textId="77777777" w:rsidR="008828D9" w:rsidRDefault="008828D9" w:rsidP="008828D9">
      <w:pPr>
        <w:rPr>
          <w:lang w:bidi="ar-SA"/>
        </w:rPr>
      </w:pPr>
    </w:p>
    <w:p w14:paraId="19413985" w14:textId="5BD58440" w:rsidR="008828D9" w:rsidRPr="00C44DD5" w:rsidRDefault="00C44DD5" w:rsidP="008828D9">
      <w:r w:rsidRPr="00C44DD5">
        <w:t xml:space="preserve">Permission to use polysorbate 20 in the production of processed </w:t>
      </w:r>
      <w:r w:rsidR="00EE6A92">
        <w:t xml:space="preserve">meat and </w:t>
      </w:r>
      <w:r w:rsidRPr="00C44DD5">
        <w:t>meat products</w:t>
      </w:r>
      <w:r w:rsidR="00EE6A92">
        <w:t>,</w:t>
      </w:r>
      <w:r w:rsidRPr="00C44DD5">
        <w:t xml:space="preserve"> and processed fish and fish products will provide improved efficiencies for Australian and New Zealand producers as polysorbate 20 has advantages over other polysorbates and emulsifiers. </w:t>
      </w:r>
      <w:r w:rsidR="00D42E22">
        <w:t>In particular, t</w:t>
      </w:r>
      <w:r w:rsidRPr="00C44DD5">
        <w:t>his is to ensure improved surface wetting properties of the surfaces to be treated with antimicrobial agents to reduce microbial load on the products.</w:t>
      </w:r>
    </w:p>
    <w:p w14:paraId="76486327" w14:textId="77777777" w:rsidR="008828D9" w:rsidRPr="008828D9" w:rsidRDefault="008828D9" w:rsidP="008828D9">
      <w:pPr>
        <w:rPr>
          <w:lang w:bidi="ar-SA"/>
        </w:rPr>
      </w:pPr>
    </w:p>
    <w:p w14:paraId="5210C614" w14:textId="77777777" w:rsidR="00022DBC" w:rsidRPr="008828D9" w:rsidRDefault="00022DBC" w:rsidP="00022DBC">
      <w:pPr>
        <w:pStyle w:val="FSBullet1"/>
        <w:rPr>
          <w:b/>
        </w:rPr>
      </w:pPr>
      <w:r w:rsidRPr="008828D9">
        <w:rPr>
          <w:b/>
        </w:rPr>
        <w:t>the promotion of fair trading in food</w:t>
      </w:r>
    </w:p>
    <w:p w14:paraId="688BD14B" w14:textId="77777777" w:rsidR="008828D9" w:rsidRDefault="008828D9" w:rsidP="008828D9">
      <w:pPr>
        <w:rPr>
          <w:lang w:bidi="ar-SA"/>
        </w:rPr>
      </w:pPr>
    </w:p>
    <w:p w14:paraId="56E916E4" w14:textId="5BD2DE13" w:rsidR="008828D9" w:rsidRPr="00C44DD5" w:rsidRDefault="00C44DD5" w:rsidP="008828D9">
      <w:r w:rsidRPr="00C44DD5">
        <w:t>No i</w:t>
      </w:r>
      <w:r w:rsidR="00B81E55">
        <w:t>ssues were identified for this a</w:t>
      </w:r>
      <w:r w:rsidRPr="00C44DD5">
        <w:t>pplication relevant to this objective.</w:t>
      </w:r>
    </w:p>
    <w:p w14:paraId="47201134" w14:textId="77777777" w:rsidR="008828D9" w:rsidRPr="008828D9" w:rsidRDefault="008828D9" w:rsidP="008828D9">
      <w:pPr>
        <w:rPr>
          <w:lang w:bidi="ar-SA"/>
        </w:rPr>
      </w:pPr>
    </w:p>
    <w:p w14:paraId="3440D2B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35E022ED" w14:textId="7459CAAC" w:rsidR="00022DBC" w:rsidRDefault="00022DBC" w:rsidP="00022DBC">
      <w:pPr>
        <w:rPr>
          <w:lang w:bidi="ar-SA"/>
        </w:rPr>
      </w:pPr>
    </w:p>
    <w:p w14:paraId="550CD599" w14:textId="190127D9" w:rsidR="00404E45" w:rsidRPr="00404E45" w:rsidRDefault="00404E45" w:rsidP="00404E45">
      <w:r w:rsidRPr="00404E45">
        <w:rPr>
          <w:szCs w:val="22"/>
        </w:rPr>
        <w:t xml:space="preserve">The </w:t>
      </w:r>
      <w:hyperlink r:id="rId24" w:history="1">
        <w:r w:rsidRPr="00404E45">
          <w:rPr>
            <w:color w:val="3333FF"/>
            <w:szCs w:val="22"/>
            <w:u w:val="single"/>
          </w:rPr>
          <w:t>Policy Guideline for the Addition to Food of Substances other than Vitamins and Minerals</w:t>
        </w:r>
      </w:hyperlink>
      <w:r w:rsidRPr="00404E45">
        <w:rPr>
          <w:vertAlign w:val="superscript"/>
        </w:rPr>
        <w:footnoteReference w:id="14"/>
      </w:r>
      <w:r w:rsidRPr="00404E45">
        <w:rPr>
          <w:szCs w:val="22"/>
        </w:rPr>
        <w:t xml:space="preserve"> </w:t>
      </w:r>
      <w:r w:rsidRPr="00404E45">
        <w:t>includes specific order policy principles for substances added to achieve a solely technological function, such as food additives. These specific order policy principles state that permission should be granted where:</w:t>
      </w:r>
    </w:p>
    <w:p w14:paraId="686B2C8A" w14:textId="77777777" w:rsidR="00404E45" w:rsidRPr="00404E45" w:rsidRDefault="00404E45" w:rsidP="00404E45"/>
    <w:p w14:paraId="7298A1CA" w14:textId="77777777" w:rsidR="00404E45" w:rsidRPr="00404E45" w:rsidRDefault="00404E45" w:rsidP="00404E45">
      <w:pPr>
        <w:pStyle w:val="FSBullet1"/>
      </w:pPr>
      <w:r w:rsidRPr="00404E45">
        <w:t>the purpose for adding the substance can be articulated clearly by the manufacturer as achieving a solely technological function (i.e. the ‘stated purpose’)</w:t>
      </w:r>
    </w:p>
    <w:p w14:paraId="6483C5A8" w14:textId="77777777" w:rsidR="00404E45" w:rsidRPr="00404E45" w:rsidRDefault="00404E45" w:rsidP="00404E45">
      <w:pPr>
        <w:pStyle w:val="FSBullet1"/>
      </w:pPr>
      <w:r w:rsidRPr="00404E45">
        <w:t>the addition of the substance to food is safe for human consumption</w:t>
      </w:r>
    </w:p>
    <w:p w14:paraId="2E42A0DD" w14:textId="77777777" w:rsidR="00404E45" w:rsidRPr="00404E45" w:rsidRDefault="00404E45" w:rsidP="00404E45">
      <w:pPr>
        <w:pStyle w:val="FSBullet1"/>
      </w:pPr>
      <w:r w:rsidRPr="00404E45">
        <w:lastRenderedPageBreak/>
        <w:t>the amounts added are consistent with achieving the technological function</w:t>
      </w:r>
    </w:p>
    <w:p w14:paraId="4D22082A" w14:textId="77777777" w:rsidR="00404E45" w:rsidRPr="00404E45" w:rsidRDefault="00404E45" w:rsidP="00404E45">
      <w:pPr>
        <w:pStyle w:val="FSBullet1"/>
      </w:pPr>
      <w:r w:rsidRPr="00404E45">
        <w:t>the substance is added in a quantity and a form which is consistent with delivering the stated purpose</w:t>
      </w:r>
    </w:p>
    <w:p w14:paraId="2DA010D8" w14:textId="77777777" w:rsidR="00404E45" w:rsidRPr="00404E45" w:rsidRDefault="00404E45" w:rsidP="00404E45">
      <w:pPr>
        <w:pStyle w:val="FSBullet1"/>
      </w:pPr>
      <w:r w:rsidRPr="00404E45">
        <w:t>no nutrition, health or related claims are to be made in regard to the substance.</w:t>
      </w:r>
    </w:p>
    <w:p w14:paraId="70B30349" w14:textId="77777777" w:rsidR="00404E45" w:rsidRPr="00404E45" w:rsidRDefault="00404E45" w:rsidP="00404E45"/>
    <w:p w14:paraId="7C01AFE6" w14:textId="154AE7DB" w:rsidR="00C44DD5" w:rsidRPr="00C44DD5" w:rsidRDefault="00C44DD5" w:rsidP="00C44DD5">
      <w:r w:rsidRPr="00C44DD5">
        <w:t>FSANZ has determined that permitting the use of</w:t>
      </w:r>
      <w:r>
        <w:t xml:space="preserve"> polysorbate 20 as an emulsifier food additive for treating processed </w:t>
      </w:r>
      <w:r w:rsidR="004C3C5C">
        <w:t xml:space="preserve">meat and </w:t>
      </w:r>
      <w:r>
        <w:t>meat products</w:t>
      </w:r>
      <w:r w:rsidR="004C3C5C">
        <w:t>,</w:t>
      </w:r>
      <w:r>
        <w:t xml:space="preserve"> and processed fish and fish products</w:t>
      </w:r>
      <w:r w:rsidRPr="00C44DD5">
        <w:t xml:space="preserve"> is consistent with the specific order principles.</w:t>
      </w:r>
    </w:p>
    <w:p w14:paraId="4B4C7EE3" w14:textId="77777777" w:rsidR="00E520FE" w:rsidRDefault="00E520FE" w:rsidP="00DD3C5E"/>
    <w:p w14:paraId="50ACB53D" w14:textId="10026DA7" w:rsidR="005F7342" w:rsidRPr="001B33EA" w:rsidRDefault="00867B23" w:rsidP="00E203C2">
      <w:pPr>
        <w:pStyle w:val="Heading1"/>
      </w:pPr>
      <w:bookmarkStart w:id="75" w:name="_Toc286391014"/>
      <w:bookmarkStart w:id="76" w:name="_Toc175381455"/>
      <w:bookmarkStart w:id="77" w:name="_Toc300933445"/>
      <w:bookmarkStart w:id="78" w:name="_Toc516642390"/>
      <w:bookmarkEnd w:id="27"/>
      <w:bookmarkEnd w:id="28"/>
      <w:bookmarkEnd w:id="29"/>
      <w:bookmarkEnd w:id="30"/>
      <w:bookmarkEnd w:id="31"/>
      <w:bookmarkEnd w:id="32"/>
      <w:bookmarkEnd w:id="45"/>
      <w:r w:rsidRPr="001B33EA">
        <w:t>3</w:t>
      </w:r>
      <w:r w:rsidR="00F604DE" w:rsidRPr="001B33EA">
        <w:tab/>
      </w:r>
      <w:bookmarkEnd w:id="75"/>
      <w:bookmarkEnd w:id="76"/>
      <w:bookmarkEnd w:id="77"/>
      <w:r w:rsidR="00D14405" w:rsidRPr="001B33EA">
        <w:t>Draft variation</w:t>
      </w:r>
      <w:bookmarkEnd w:id="78"/>
      <w:r w:rsidR="001B33EA" w:rsidRPr="001B33EA">
        <w:t xml:space="preserve"> </w:t>
      </w:r>
    </w:p>
    <w:p w14:paraId="0CB1B8C9" w14:textId="483557DD" w:rsidR="00D209C9" w:rsidRPr="001B33EA" w:rsidRDefault="00D209C9" w:rsidP="00D209C9">
      <w:r w:rsidRPr="001B33EA">
        <w:t xml:space="preserve">The draft variation to the Code is at Attachment A and is intended to take effect on </w:t>
      </w:r>
      <w:r w:rsidR="000564DE" w:rsidRPr="001B33EA">
        <w:t>gazettal</w:t>
      </w:r>
      <w:r w:rsidRPr="001B33EA">
        <w:t>.</w:t>
      </w:r>
    </w:p>
    <w:p w14:paraId="190A9F69" w14:textId="77777777" w:rsidR="00D209C9" w:rsidRPr="001B33EA" w:rsidRDefault="00D209C9" w:rsidP="00D209C9"/>
    <w:p w14:paraId="47922EF3" w14:textId="77777777" w:rsidR="00A12B44" w:rsidRDefault="002C4A91" w:rsidP="00A12B44">
      <w:r w:rsidRPr="001B33EA">
        <w:t>A</w:t>
      </w:r>
      <w:r w:rsidR="005358B0" w:rsidRPr="001B33EA">
        <w:t xml:space="preserve"> draft explanatory statement </w:t>
      </w:r>
      <w:r w:rsidRPr="001B33EA">
        <w:t>is</w:t>
      </w:r>
      <w:r w:rsidR="005358B0" w:rsidRPr="001B33EA">
        <w:t xml:space="preserve"> at Attachment B. </w:t>
      </w:r>
      <w:r w:rsidR="00D26814" w:rsidRPr="001B33EA">
        <w:t>An explanatory statement is required to accompany an instrument if it is lodged on the Federal Register of Legislati</w:t>
      </w:r>
      <w:r w:rsidR="004D6BBF" w:rsidRPr="001B33EA">
        <w:t>on</w:t>
      </w:r>
      <w:r w:rsidR="00D26814" w:rsidRPr="001B33EA">
        <w:t xml:space="preserve">. </w:t>
      </w:r>
    </w:p>
    <w:p w14:paraId="343AF1D4"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545C10A8" w14:textId="77777777" w:rsidR="00A4175D" w:rsidRPr="00E203C2" w:rsidRDefault="00A4175D" w:rsidP="00AF06FC"/>
    <w:p w14:paraId="6AF7D12C" w14:textId="7777777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40208483" w14:textId="77777777" w:rsidR="00AB0275" w:rsidRDefault="00AB0275" w:rsidP="00AB0275">
      <w:pPr>
        <w:ind w:left="567" w:hanging="567"/>
      </w:pPr>
      <w:r w:rsidRPr="00456BD5">
        <w:t>B.</w:t>
      </w:r>
      <w:r w:rsidRPr="00456BD5">
        <w:tab/>
      </w:r>
      <w:r w:rsidR="002C4A91">
        <w:t xml:space="preserve">Draft </w:t>
      </w:r>
      <w:r>
        <w:t xml:space="preserve">Explanatory Statement </w:t>
      </w:r>
    </w:p>
    <w:p w14:paraId="3A887546" w14:textId="77777777" w:rsidR="00D60568" w:rsidRPr="00E203C2" w:rsidRDefault="00D60568" w:rsidP="002432EE"/>
    <w:p w14:paraId="2007D68C" w14:textId="77777777" w:rsidR="00AB0275" w:rsidRPr="00456BD5" w:rsidRDefault="00AB0275" w:rsidP="00AB0275">
      <w:pPr>
        <w:pStyle w:val="Heading2"/>
        <w:ind w:left="0" w:firstLine="0"/>
      </w:pPr>
      <w:bookmarkStart w:id="79" w:name="_Toc300933454"/>
      <w:r w:rsidRPr="00932F14">
        <w:br w:type="page"/>
      </w:r>
      <w:bookmarkStart w:id="80" w:name="_Toc29883131"/>
      <w:bookmarkStart w:id="81" w:name="_Toc41906818"/>
      <w:bookmarkStart w:id="82" w:name="_Toc41907565"/>
      <w:bookmarkStart w:id="83" w:name="_Toc120358596"/>
      <w:bookmarkStart w:id="84" w:name="_Toc175381458"/>
      <w:bookmarkStart w:id="85" w:name="_Toc11735644"/>
      <w:bookmarkStart w:id="86" w:name="_Toc415572037"/>
      <w:bookmarkStart w:id="87" w:name="_Toc516642391"/>
      <w:r w:rsidRPr="00932F14">
        <w:lastRenderedPageBreak/>
        <w:t xml:space="preserve">Attachment </w:t>
      </w:r>
      <w:bookmarkEnd w:id="80"/>
      <w:bookmarkEnd w:id="81"/>
      <w:bookmarkEnd w:id="82"/>
      <w:bookmarkEnd w:id="83"/>
      <w:bookmarkEnd w:id="84"/>
      <w:r>
        <w:t>A</w:t>
      </w:r>
      <w:bookmarkStart w:id="88" w:name="_Toc120358597"/>
      <w:bookmarkStart w:id="89" w:name="_Toc175381459"/>
      <w:bookmarkEnd w:id="85"/>
      <w:r>
        <w:t xml:space="preserve"> –</w:t>
      </w:r>
      <w:r w:rsidR="00CA3C65">
        <w:t xml:space="preserve"> </w:t>
      </w:r>
      <w:bookmarkStart w:id="90" w:name="_Toc415572039"/>
      <w:bookmarkEnd w:id="79"/>
      <w:bookmarkEnd w:id="86"/>
      <w:bookmarkEnd w:id="88"/>
      <w:bookmarkEnd w:id="89"/>
      <w:r w:rsidR="00CA3C65">
        <w:t>D</w:t>
      </w:r>
      <w:r>
        <w:t xml:space="preserve">raft </w:t>
      </w:r>
      <w:r w:rsidRPr="00932F14">
        <w:t>variation to the</w:t>
      </w:r>
      <w:r w:rsidRPr="00755F02">
        <w:t xml:space="preserve"> </w:t>
      </w:r>
      <w:r w:rsidRPr="00795D86">
        <w:rPr>
          <w:i/>
        </w:rPr>
        <w:t>Australia New Zealand Food Standards Code</w:t>
      </w:r>
      <w:bookmarkEnd w:id="87"/>
      <w:r>
        <w:rPr>
          <w:i/>
        </w:rPr>
        <w:t xml:space="preserve"> </w:t>
      </w:r>
      <w:bookmarkEnd w:id="90"/>
    </w:p>
    <w:p w14:paraId="22AA3C86" w14:textId="619651E1" w:rsidR="00413B42" w:rsidRPr="00D42EB3" w:rsidRDefault="00413B42" w:rsidP="00413B42">
      <w:pPr>
        <w:keepNext/>
        <w:spacing w:before="240" w:after="240"/>
        <w:outlineLvl w:val="1"/>
        <w:rPr>
          <w:noProof/>
          <w:color w:val="000000" w:themeColor="text1"/>
          <w:sz w:val="20"/>
          <w:szCs w:val="20"/>
          <w:lang w:val="en-AU" w:eastAsia="en-AU"/>
        </w:rPr>
      </w:pPr>
      <w:bookmarkStart w:id="91" w:name="_Toc438026191"/>
      <w:bookmarkStart w:id="92" w:name="_Toc454376577"/>
      <w:bookmarkStart w:id="93" w:name="_Toc463450505"/>
      <w:bookmarkStart w:id="94" w:name="_Toc516642392"/>
      <w:bookmarkEnd w:id="91"/>
      <w:bookmarkEnd w:id="92"/>
      <w:bookmarkEnd w:id="93"/>
      <w:r w:rsidRPr="00D42EB3">
        <w:rPr>
          <w:noProof/>
          <w:color w:val="000000" w:themeColor="text1"/>
          <w:sz w:val="20"/>
          <w:szCs w:val="20"/>
          <w:lang w:eastAsia="en-GB" w:bidi="ar-SA"/>
        </w:rPr>
        <w:drawing>
          <wp:inline distT="0" distB="0" distL="0" distR="0" wp14:anchorId="691EDDC8" wp14:editId="602F2C5A">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bookmarkEnd w:id="94"/>
    </w:p>
    <w:p w14:paraId="77E0B592" w14:textId="77777777" w:rsidR="00413B42" w:rsidRPr="00D42EB3" w:rsidRDefault="00413B42" w:rsidP="00413B42">
      <w:pPr>
        <w:pBdr>
          <w:bottom w:val="single" w:sz="4" w:space="1" w:color="auto"/>
        </w:pBdr>
        <w:tabs>
          <w:tab w:val="left" w:pos="851"/>
        </w:tabs>
        <w:jc w:val="center"/>
        <w:rPr>
          <w:color w:val="000000" w:themeColor="text1"/>
          <w:sz w:val="20"/>
          <w:szCs w:val="20"/>
          <w:lang w:eastAsia="en-GB"/>
        </w:rPr>
      </w:pPr>
    </w:p>
    <w:p w14:paraId="02A29A87" w14:textId="77777777" w:rsidR="00413B42" w:rsidRPr="00D42EB3" w:rsidRDefault="00413B42" w:rsidP="00413B42">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A1137</w:t>
      </w:r>
      <w:r w:rsidRPr="00D42EB3">
        <w:rPr>
          <w:b/>
          <w:color w:val="000000" w:themeColor="text1"/>
          <w:sz w:val="20"/>
          <w:szCs w:val="20"/>
        </w:rPr>
        <w:t xml:space="preserve"> –</w:t>
      </w:r>
      <w:r w:rsidRPr="00D42EB3">
        <w:rPr>
          <w:color w:val="000000" w:themeColor="text1"/>
          <w:szCs w:val="20"/>
        </w:rPr>
        <w:t xml:space="preserve"> </w:t>
      </w:r>
      <w:r w:rsidRPr="00B9711E">
        <w:rPr>
          <w:b/>
          <w:bCs/>
          <w:color w:val="000000" w:themeColor="text1"/>
          <w:sz w:val="20"/>
          <w:szCs w:val="20"/>
        </w:rPr>
        <w:t>Polysorbate 20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330EE384" w14:textId="77777777" w:rsidR="00413B42" w:rsidRPr="00D42EB3" w:rsidRDefault="00413B42" w:rsidP="00413B42">
      <w:pPr>
        <w:pBdr>
          <w:bottom w:val="single" w:sz="4" w:space="1" w:color="auto"/>
        </w:pBdr>
        <w:tabs>
          <w:tab w:val="left" w:pos="851"/>
        </w:tabs>
        <w:rPr>
          <w:b/>
          <w:color w:val="000000" w:themeColor="text1"/>
          <w:sz w:val="20"/>
          <w:szCs w:val="20"/>
        </w:rPr>
      </w:pPr>
    </w:p>
    <w:p w14:paraId="5D3B1AD1" w14:textId="77777777" w:rsidR="00413B42" w:rsidRPr="00D42EB3" w:rsidRDefault="00413B42" w:rsidP="00413B42">
      <w:pPr>
        <w:tabs>
          <w:tab w:val="left" w:pos="851"/>
        </w:tabs>
        <w:rPr>
          <w:color w:val="000000" w:themeColor="text1"/>
          <w:sz w:val="20"/>
          <w:szCs w:val="20"/>
        </w:rPr>
      </w:pPr>
    </w:p>
    <w:p w14:paraId="3F80A8EE" w14:textId="77777777" w:rsidR="00413B42" w:rsidRPr="00D42EB3" w:rsidRDefault="00413B42" w:rsidP="00413B42">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45DD869B" w14:textId="77777777" w:rsidR="00413B42" w:rsidRPr="00D42EB3" w:rsidRDefault="00413B42" w:rsidP="00413B42">
      <w:pPr>
        <w:tabs>
          <w:tab w:val="left" w:pos="851"/>
        </w:tabs>
        <w:rPr>
          <w:color w:val="000000" w:themeColor="text1"/>
          <w:sz w:val="20"/>
          <w:szCs w:val="20"/>
        </w:rPr>
      </w:pPr>
    </w:p>
    <w:p w14:paraId="7745166F" w14:textId="1EBA5610" w:rsidR="00494CD4" w:rsidRPr="0089414D" w:rsidRDefault="00B4758A" w:rsidP="00494CD4">
      <w:pPr>
        <w:tabs>
          <w:tab w:val="left" w:pos="851"/>
        </w:tabs>
        <w:rPr>
          <w:sz w:val="20"/>
          <w:szCs w:val="20"/>
          <w:lang w:bidi="ar-SA"/>
        </w:rPr>
      </w:pPr>
      <w:r>
        <w:rPr>
          <w:sz w:val="20"/>
          <w:szCs w:val="20"/>
          <w:lang w:bidi="ar-SA"/>
        </w:rPr>
        <w:t>Dated</w:t>
      </w:r>
    </w:p>
    <w:p w14:paraId="307A888D" w14:textId="77777777" w:rsidR="00494CD4" w:rsidRPr="0089414D" w:rsidRDefault="00494CD4" w:rsidP="00494CD4">
      <w:pPr>
        <w:tabs>
          <w:tab w:val="left" w:pos="851"/>
        </w:tabs>
        <w:rPr>
          <w:sz w:val="20"/>
          <w:szCs w:val="20"/>
          <w:lang w:bidi="ar-SA"/>
        </w:rPr>
      </w:pPr>
    </w:p>
    <w:p w14:paraId="67D5562C" w14:textId="77777777" w:rsidR="00494CD4" w:rsidRPr="0089414D" w:rsidRDefault="00494CD4" w:rsidP="00494CD4">
      <w:pPr>
        <w:tabs>
          <w:tab w:val="left" w:pos="851"/>
        </w:tabs>
        <w:rPr>
          <w:sz w:val="20"/>
          <w:szCs w:val="20"/>
          <w:lang w:bidi="ar-SA"/>
        </w:rPr>
      </w:pPr>
    </w:p>
    <w:p w14:paraId="7E57C4BA" w14:textId="77777777" w:rsidR="00494CD4" w:rsidRPr="0089414D" w:rsidRDefault="00494CD4" w:rsidP="00494CD4">
      <w:pPr>
        <w:tabs>
          <w:tab w:val="left" w:pos="851"/>
        </w:tabs>
        <w:rPr>
          <w:sz w:val="20"/>
          <w:szCs w:val="20"/>
          <w:lang w:bidi="ar-SA"/>
        </w:rPr>
      </w:pPr>
    </w:p>
    <w:p w14:paraId="0822FF3F" w14:textId="77777777" w:rsidR="00494CD4" w:rsidRPr="0089414D" w:rsidRDefault="00494CD4" w:rsidP="00494CD4">
      <w:pPr>
        <w:tabs>
          <w:tab w:val="left" w:pos="851"/>
        </w:tabs>
        <w:rPr>
          <w:sz w:val="20"/>
          <w:szCs w:val="20"/>
          <w:lang w:bidi="ar-SA"/>
        </w:rPr>
      </w:pPr>
    </w:p>
    <w:p w14:paraId="41A6C81D" w14:textId="77777777" w:rsidR="00494CD4" w:rsidRPr="0089414D" w:rsidRDefault="00494CD4" w:rsidP="00494CD4">
      <w:pPr>
        <w:tabs>
          <w:tab w:val="left" w:pos="851"/>
        </w:tabs>
        <w:rPr>
          <w:sz w:val="20"/>
          <w:szCs w:val="20"/>
          <w:lang w:bidi="ar-SA"/>
        </w:rPr>
      </w:pPr>
    </w:p>
    <w:p w14:paraId="3657CB2A" w14:textId="77777777" w:rsidR="00494CD4" w:rsidRPr="0089414D" w:rsidRDefault="00494CD4" w:rsidP="00494CD4">
      <w:pPr>
        <w:tabs>
          <w:tab w:val="left" w:pos="851"/>
        </w:tabs>
        <w:rPr>
          <w:sz w:val="20"/>
          <w:szCs w:val="20"/>
          <w:lang w:bidi="ar-SA"/>
        </w:rPr>
      </w:pPr>
      <w:r w:rsidRPr="0089414D">
        <w:rPr>
          <w:sz w:val="20"/>
          <w:szCs w:val="20"/>
          <w:lang w:bidi="ar-SA"/>
        </w:rPr>
        <w:t>Glen Neal</w:t>
      </w:r>
    </w:p>
    <w:p w14:paraId="6119E0CC" w14:textId="77777777" w:rsidR="00494CD4" w:rsidRPr="0089414D" w:rsidRDefault="00494CD4" w:rsidP="00494CD4">
      <w:pPr>
        <w:tabs>
          <w:tab w:val="left" w:pos="851"/>
        </w:tabs>
        <w:rPr>
          <w:sz w:val="20"/>
          <w:szCs w:val="20"/>
          <w:lang w:bidi="ar-SA"/>
        </w:rPr>
      </w:pPr>
      <w:r w:rsidRPr="0089414D">
        <w:rPr>
          <w:sz w:val="20"/>
          <w:szCs w:val="20"/>
          <w:lang w:bidi="ar-SA"/>
        </w:rPr>
        <w:t>General Manager</w:t>
      </w:r>
      <w:r>
        <w:rPr>
          <w:sz w:val="20"/>
          <w:szCs w:val="20"/>
          <w:lang w:bidi="ar-SA"/>
        </w:rPr>
        <w:t>,</w:t>
      </w:r>
      <w:r w:rsidRPr="0089414D">
        <w:rPr>
          <w:sz w:val="20"/>
          <w:szCs w:val="20"/>
          <w:lang w:bidi="ar-SA"/>
        </w:rPr>
        <w:t xml:space="preserve"> Risk Management &amp; Intelligence</w:t>
      </w:r>
    </w:p>
    <w:p w14:paraId="38D1EA72" w14:textId="77777777" w:rsidR="00494CD4" w:rsidRPr="0089414D" w:rsidRDefault="00494CD4" w:rsidP="00494CD4">
      <w:pPr>
        <w:tabs>
          <w:tab w:val="left" w:pos="851"/>
        </w:tabs>
        <w:rPr>
          <w:sz w:val="20"/>
          <w:szCs w:val="20"/>
          <w:lang w:bidi="ar-SA"/>
        </w:rPr>
      </w:pPr>
      <w:r w:rsidRPr="0089414D">
        <w:rPr>
          <w:sz w:val="20"/>
          <w:szCs w:val="20"/>
          <w:lang w:bidi="ar-SA"/>
        </w:rPr>
        <w:t>Delegate of the Board of Food Standards Australia New Zealand</w:t>
      </w:r>
    </w:p>
    <w:p w14:paraId="1767DA25" w14:textId="77777777" w:rsidR="00413B42" w:rsidRPr="00D42EB3" w:rsidRDefault="00413B42" w:rsidP="00413B42">
      <w:pPr>
        <w:tabs>
          <w:tab w:val="left" w:pos="851"/>
        </w:tabs>
        <w:rPr>
          <w:color w:val="000000" w:themeColor="text1"/>
          <w:sz w:val="20"/>
          <w:szCs w:val="20"/>
        </w:rPr>
      </w:pPr>
    </w:p>
    <w:p w14:paraId="062880F5" w14:textId="77777777" w:rsidR="00413B42" w:rsidRPr="00D42EB3" w:rsidRDefault="00413B42" w:rsidP="00413B42">
      <w:pPr>
        <w:tabs>
          <w:tab w:val="left" w:pos="851"/>
        </w:tabs>
        <w:rPr>
          <w:sz w:val="20"/>
          <w:szCs w:val="20"/>
        </w:rPr>
      </w:pPr>
    </w:p>
    <w:p w14:paraId="5AE7DD5E" w14:textId="77777777" w:rsidR="00413B42" w:rsidRPr="00D42EB3" w:rsidRDefault="00413B42" w:rsidP="00413B42">
      <w:pPr>
        <w:tabs>
          <w:tab w:val="left" w:pos="851"/>
        </w:tabs>
        <w:rPr>
          <w:sz w:val="20"/>
          <w:szCs w:val="20"/>
        </w:rPr>
      </w:pPr>
    </w:p>
    <w:p w14:paraId="0C2438FE" w14:textId="77777777" w:rsidR="00413B42" w:rsidRPr="00D42EB3" w:rsidRDefault="00413B42" w:rsidP="00413B42">
      <w:pPr>
        <w:tabs>
          <w:tab w:val="left" w:pos="851"/>
        </w:tabs>
        <w:rPr>
          <w:sz w:val="20"/>
          <w:szCs w:val="20"/>
        </w:rPr>
      </w:pPr>
    </w:p>
    <w:p w14:paraId="64AB1395" w14:textId="77777777" w:rsidR="00413B42" w:rsidRPr="00D42EB3" w:rsidRDefault="00413B42" w:rsidP="00413B42">
      <w:pPr>
        <w:tabs>
          <w:tab w:val="left" w:pos="851"/>
        </w:tabs>
        <w:rPr>
          <w:sz w:val="20"/>
          <w:szCs w:val="20"/>
        </w:rPr>
      </w:pPr>
    </w:p>
    <w:p w14:paraId="121B1486" w14:textId="77777777" w:rsidR="00413B42" w:rsidRPr="00D42EB3" w:rsidRDefault="00413B42" w:rsidP="00413B42">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33EF008B" w14:textId="77777777" w:rsidR="00413B42" w:rsidRPr="00D42EB3" w:rsidRDefault="00413B42" w:rsidP="00413B4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72F4A03F" w14:textId="77777777" w:rsidR="00413B42" w:rsidRPr="00D42EB3" w:rsidRDefault="00413B42" w:rsidP="00413B4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2DB4833B" w14:textId="77777777" w:rsidR="00413B42" w:rsidRPr="00D42EB3" w:rsidRDefault="00413B42" w:rsidP="00413B42">
      <w:pPr>
        <w:tabs>
          <w:tab w:val="left" w:pos="851"/>
        </w:tabs>
        <w:rPr>
          <w:szCs w:val="20"/>
        </w:rPr>
      </w:pPr>
    </w:p>
    <w:p w14:paraId="011B291B" w14:textId="77777777" w:rsidR="00413B42" w:rsidRPr="00D42EB3" w:rsidRDefault="00413B42" w:rsidP="00413B42">
      <w:pPr>
        <w:tabs>
          <w:tab w:val="left" w:pos="851"/>
        </w:tabs>
        <w:rPr>
          <w:szCs w:val="20"/>
        </w:rPr>
      </w:pPr>
      <w:r w:rsidRPr="00D42EB3">
        <w:rPr>
          <w:szCs w:val="20"/>
        </w:rPr>
        <w:br w:type="page"/>
      </w:r>
    </w:p>
    <w:p w14:paraId="0A04ACE8" w14:textId="77777777" w:rsidR="00413B42" w:rsidRPr="00D42EB3" w:rsidRDefault="00413B42" w:rsidP="00413B42">
      <w:pPr>
        <w:spacing w:before="120" w:after="120"/>
        <w:ind w:left="851" w:hanging="851"/>
        <w:rPr>
          <w:b/>
          <w:sz w:val="20"/>
          <w:szCs w:val="20"/>
        </w:rPr>
      </w:pPr>
      <w:bookmarkStart w:id="95" w:name="_Toc414880389"/>
      <w:bookmarkStart w:id="96" w:name="_Toc420055543"/>
      <w:bookmarkStart w:id="97" w:name="_Toc430770446"/>
      <w:r w:rsidRPr="00D42EB3">
        <w:rPr>
          <w:b/>
          <w:sz w:val="20"/>
          <w:szCs w:val="20"/>
        </w:rPr>
        <w:lastRenderedPageBreak/>
        <w:t>1</w:t>
      </w:r>
      <w:r w:rsidRPr="00D42EB3">
        <w:rPr>
          <w:b/>
          <w:sz w:val="20"/>
          <w:szCs w:val="20"/>
        </w:rPr>
        <w:tab/>
        <w:t>Name</w:t>
      </w:r>
    </w:p>
    <w:p w14:paraId="7069E751" w14:textId="77777777" w:rsidR="00413B42" w:rsidRPr="00D42EB3" w:rsidRDefault="00413B42" w:rsidP="00413B42">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(Application A1137</w:t>
      </w:r>
      <w:r w:rsidRPr="00D42EB3">
        <w:rPr>
          <w:i/>
          <w:sz w:val="20"/>
          <w:szCs w:val="20"/>
        </w:rPr>
        <w:t xml:space="preserve"> – </w:t>
      </w:r>
      <w:r w:rsidRPr="00B9711E">
        <w:rPr>
          <w:i/>
          <w:sz w:val="20"/>
          <w:szCs w:val="20"/>
        </w:rPr>
        <w:t>Polysorbate 20 as a Food Additive</w:t>
      </w:r>
      <w:r w:rsidRPr="00D42EB3">
        <w:rPr>
          <w:i/>
          <w:sz w:val="20"/>
          <w:szCs w:val="20"/>
        </w:rPr>
        <w:t>) Variation</w:t>
      </w:r>
      <w:r w:rsidRPr="00D42EB3">
        <w:rPr>
          <w:sz w:val="20"/>
          <w:szCs w:val="20"/>
        </w:rPr>
        <w:t>.</w:t>
      </w:r>
    </w:p>
    <w:p w14:paraId="29DC0C1F" w14:textId="1F1819F4" w:rsidR="00413B42" w:rsidRPr="00D42EB3" w:rsidRDefault="00413B42" w:rsidP="00413B42">
      <w:pPr>
        <w:spacing w:before="120" w:after="120"/>
        <w:ind w:left="851" w:hanging="851"/>
        <w:rPr>
          <w:b/>
          <w:sz w:val="20"/>
          <w:szCs w:val="20"/>
        </w:rPr>
      </w:pPr>
      <w:r w:rsidRPr="00D42EB3">
        <w:rPr>
          <w:b/>
          <w:sz w:val="20"/>
          <w:szCs w:val="20"/>
        </w:rPr>
        <w:t>2</w:t>
      </w:r>
      <w:r w:rsidRPr="00D42EB3">
        <w:rPr>
          <w:b/>
          <w:sz w:val="20"/>
          <w:szCs w:val="20"/>
        </w:rPr>
        <w:tab/>
        <w:t>Variation to Standard</w:t>
      </w:r>
      <w:r w:rsidR="00494CD4">
        <w:rPr>
          <w:b/>
          <w:sz w:val="20"/>
          <w:szCs w:val="20"/>
        </w:rPr>
        <w:t>s</w:t>
      </w:r>
      <w:r w:rsidRPr="00D42EB3">
        <w:rPr>
          <w:b/>
          <w:sz w:val="20"/>
          <w:szCs w:val="20"/>
        </w:rPr>
        <w:t xml:space="preserve"> in the </w:t>
      </w:r>
      <w:r w:rsidRPr="00D42EB3">
        <w:rPr>
          <w:b/>
          <w:i/>
          <w:sz w:val="20"/>
          <w:szCs w:val="20"/>
        </w:rPr>
        <w:t>Australia New Zealand Food Standards Code</w:t>
      </w:r>
    </w:p>
    <w:p w14:paraId="79C9BC87" w14:textId="75DD406B" w:rsidR="00413B42" w:rsidRPr="00D42EB3" w:rsidRDefault="00413B42" w:rsidP="00413B42">
      <w:pPr>
        <w:tabs>
          <w:tab w:val="left" w:pos="851"/>
        </w:tabs>
        <w:spacing w:before="120" w:after="120"/>
        <w:rPr>
          <w:sz w:val="20"/>
          <w:szCs w:val="20"/>
        </w:rPr>
      </w:pPr>
      <w:r w:rsidRPr="00D42EB3">
        <w:rPr>
          <w:sz w:val="20"/>
          <w:szCs w:val="20"/>
        </w:rPr>
        <w:t>The Schedule varies standard</w:t>
      </w:r>
      <w:r w:rsidR="00494CD4">
        <w:rPr>
          <w:sz w:val="20"/>
          <w:szCs w:val="20"/>
        </w:rPr>
        <w:t>s</w:t>
      </w:r>
      <w:r w:rsidRPr="00D42EB3">
        <w:rPr>
          <w:sz w:val="20"/>
          <w:szCs w:val="20"/>
        </w:rPr>
        <w:t xml:space="preserve"> in the </w:t>
      </w:r>
      <w:r w:rsidRPr="00D42EB3">
        <w:rPr>
          <w:i/>
          <w:sz w:val="20"/>
          <w:szCs w:val="20"/>
        </w:rPr>
        <w:t>Australia New Zealand Food Standards Code</w:t>
      </w:r>
      <w:r w:rsidRPr="00D42EB3">
        <w:rPr>
          <w:sz w:val="20"/>
          <w:szCs w:val="20"/>
        </w:rPr>
        <w:t>.</w:t>
      </w:r>
    </w:p>
    <w:p w14:paraId="4B527AE2" w14:textId="77777777" w:rsidR="00413B42" w:rsidRPr="00D42EB3" w:rsidRDefault="00413B42" w:rsidP="00413B42">
      <w:pPr>
        <w:spacing w:before="120" w:after="120"/>
        <w:ind w:left="851" w:hanging="851"/>
        <w:rPr>
          <w:b/>
          <w:sz w:val="20"/>
          <w:szCs w:val="20"/>
        </w:rPr>
      </w:pPr>
      <w:r w:rsidRPr="00D42EB3">
        <w:rPr>
          <w:b/>
          <w:sz w:val="20"/>
          <w:szCs w:val="20"/>
        </w:rPr>
        <w:t>3</w:t>
      </w:r>
      <w:r w:rsidRPr="00D42EB3">
        <w:rPr>
          <w:b/>
          <w:sz w:val="20"/>
          <w:szCs w:val="20"/>
        </w:rPr>
        <w:tab/>
        <w:t>Commencement</w:t>
      </w:r>
    </w:p>
    <w:p w14:paraId="3641030C" w14:textId="77777777" w:rsidR="00413B42" w:rsidRPr="00D42EB3" w:rsidRDefault="00413B42" w:rsidP="00413B42">
      <w:pPr>
        <w:tabs>
          <w:tab w:val="left" w:pos="851"/>
        </w:tabs>
        <w:spacing w:before="120" w:after="120"/>
        <w:rPr>
          <w:sz w:val="20"/>
          <w:szCs w:val="20"/>
        </w:rPr>
      </w:pPr>
      <w:r w:rsidRPr="00D42EB3">
        <w:rPr>
          <w:sz w:val="20"/>
          <w:szCs w:val="20"/>
        </w:rPr>
        <w:t>The variation commences on the date of gazettal.</w:t>
      </w:r>
      <w:r>
        <w:rPr>
          <w:sz w:val="20"/>
          <w:szCs w:val="20"/>
        </w:rPr>
        <w:br/>
      </w:r>
    </w:p>
    <w:p w14:paraId="771EC01E" w14:textId="77777777" w:rsidR="00413B42" w:rsidRPr="00D42EB3" w:rsidRDefault="00413B42" w:rsidP="00413B42">
      <w:pPr>
        <w:spacing w:before="120" w:after="120"/>
        <w:ind w:left="851" w:hanging="851"/>
        <w:jc w:val="center"/>
        <w:rPr>
          <w:b/>
          <w:sz w:val="20"/>
          <w:szCs w:val="20"/>
        </w:rPr>
      </w:pPr>
      <w:r w:rsidRPr="00D42EB3">
        <w:rPr>
          <w:b/>
          <w:sz w:val="20"/>
          <w:szCs w:val="20"/>
        </w:rPr>
        <w:t>Schedule</w:t>
      </w:r>
    </w:p>
    <w:p w14:paraId="71BD3A27" w14:textId="77777777" w:rsidR="00413B42" w:rsidRPr="00D42EB3" w:rsidRDefault="00413B42" w:rsidP="00413B42">
      <w:pPr>
        <w:spacing w:before="120" w:after="120"/>
        <w:ind w:left="851" w:hanging="851"/>
        <w:rPr>
          <w:sz w:val="20"/>
          <w:szCs w:val="20"/>
        </w:rPr>
      </w:pPr>
      <w:r>
        <w:rPr>
          <w:b/>
          <w:sz w:val="20"/>
          <w:szCs w:val="20"/>
        </w:rPr>
        <w:t>[1]</w:t>
      </w:r>
      <w:r>
        <w:rPr>
          <w:b/>
          <w:sz w:val="20"/>
          <w:szCs w:val="20"/>
        </w:rPr>
        <w:tab/>
        <w:t>Schedule 8</w:t>
      </w:r>
      <w:r w:rsidRPr="00D42EB3">
        <w:rPr>
          <w:b/>
          <w:sz w:val="20"/>
          <w:szCs w:val="20"/>
        </w:rPr>
        <w:t xml:space="preserve"> </w:t>
      </w:r>
      <w:r w:rsidRPr="00D42EB3">
        <w:rPr>
          <w:sz w:val="20"/>
          <w:szCs w:val="20"/>
        </w:rPr>
        <w:t xml:space="preserve">is varied by </w:t>
      </w:r>
    </w:p>
    <w:p w14:paraId="036CE2BB" w14:textId="77777777" w:rsidR="00413B42" w:rsidRPr="00D42EB3" w:rsidRDefault="00413B42" w:rsidP="00413B42">
      <w:pPr>
        <w:tabs>
          <w:tab w:val="left" w:pos="1701"/>
        </w:tabs>
        <w:spacing w:before="60" w:after="60"/>
        <w:rPr>
          <w:rFonts w:cs="Arial"/>
          <w:iCs/>
          <w:sz w:val="20"/>
          <w:lang w:eastAsia="en-AU"/>
        </w:rPr>
      </w:pPr>
    </w:p>
    <w:p w14:paraId="0342DD74" w14:textId="77777777" w:rsidR="00413B42" w:rsidRDefault="00413B42" w:rsidP="00413B42">
      <w:pPr>
        <w:tabs>
          <w:tab w:val="left" w:pos="851"/>
        </w:tabs>
        <w:spacing w:before="60" w:after="60"/>
        <w:rPr>
          <w:rFonts w:cs="Arial"/>
          <w:iCs/>
          <w:sz w:val="20"/>
          <w:lang w:eastAsia="en-AU"/>
        </w:rPr>
      </w:pPr>
      <w:r>
        <w:rPr>
          <w:rFonts w:cs="Arial"/>
          <w:b/>
          <w:iCs/>
          <w:sz w:val="20"/>
          <w:lang w:eastAsia="en-AU"/>
        </w:rPr>
        <w:t>[1</w:t>
      </w:r>
      <w:r w:rsidRPr="00964ECB">
        <w:rPr>
          <w:rFonts w:cs="Arial"/>
          <w:b/>
          <w:iCs/>
          <w:sz w:val="20"/>
          <w:lang w:eastAsia="en-AU"/>
        </w:rPr>
        <w:t>.1]</w:t>
      </w:r>
      <w:r w:rsidRPr="00964ECB">
        <w:rPr>
          <w:rFonts w:cs="Arial"/>
          <w:b/>
          <w:iCs/>
          <w:sz w:val="20"/>
          <w:lang w:eastAsia="en-AU"/>
        </w:rPr>
        <w:tab/>
      </w:r>
      <w:r w:rsidRPr="00964ECB">
        <w:rPr>
          <w:rFonts w:cs="Arial"/>
          <w:iCs/>
          <w:sz w:val="20"/>
          <w:lang w:eastAsia="en-AU"/>
        </w:rPr>
        <w:t>omitting</w:t>
      </w:r>
      <w:r>
        <w:rPr>
          <w:rFonts w:cs="Arial"/>
          <w:iCs/>
          <w:sz w:val="20"/>
          <w:lang w:eastAsia="en-AU"/>
        </w:rPr>
        <w:t xml:space="preserve"> the following from </w:t>
      </w:r>
      <w:r w:rsidRPr="00964ECB">
        <w:rPr>
          <w:rFonts w:cs="Arial"/>
          <w:iCs/>
          <w:sz w:val="20"/>
          <w:lang w:eastAsia="en-AU"/>
        </w:rPr>
        <w:t xml:space="preserve">the </w:t>
      </w:r>
      <w:r>
        <w:rPr>
          <w:rFonts w:cs="Arial"/>
          <w:iCs/>
          <w:sz w:val="20"/>
          <w:lang w:eastAsia="en-AU"/>
        </w:rPr>
        <w:t>table to section S8—2</w:t>
      </w:r>
      <w:r w:rsidRPr="00964ECB">
        <w:rPr>
          <w:rFonts w:cs="Arial"/>
          <w:iCs/>
          <w:sz w:val="20"/>
          <w:lang w:eastAsia="en-AU"/>
        </w:rPr>
        <w:t>,</w:t>
      </w:r>
    </w:p>
    <w:p w14:paraId="3736637D" w14:textId="77777777" w:rsidR="00413B42" w:rsidRPr="00964ECB" w:rsidRDefault="00413B42" w:rsidP="00413B42">
      <w:pPr>
        <w:tabs>
          <w:tab w:val="left" w:pos="851"/>
        </w:tabs>
        <w:spacing w:before="60" w:after="60"/>
        <w:rPr>
          <w:rFonts w:cs="Arial"/>
          <w:iCs/>
          <w:sz w:val="20"/>
          <w:lang w:eastAsia="en-AU"/>
        </w:rPr>
      </w:pPr>
    </w:p>
    <w:tbl>
      <w:tblPr>
        <w:tblStyle w:val="TableGrid2"/>
        <w:tblW w:w="4422" w:type="dxa"/>
        <w:tblInd w:w="-108" w:type="dxa"/>
        <w:tblLook w:val="04A0" w:firstRow="1" w:lastRow="0" w:firstColumn="1" w:lastColumn="0" w:noHBand="0" w:noVBand="1"/>
      </w:tblPr>
      <w:tblGrid>
        <w:gridCol w:w="3402"/>
        <w:gridCol w:w="1020"/>
      </w:tblGrid>
      <w:tr w:rsidR="00413B42" w:rsidRPr="00FC3654" w14:paraId="22355A2A" w14:textId="77777777" w:rsidTr="00331A74">
        <w:trPr>
          <w:cantSplit/>
        </w:trPr>
        <w:tc>
          <w:tcPr>
            <w:tcW w:w="3402" w:type="dxa"/>
            <w:tcBorders>
              <w:top w:val="nil"/>
              <w:left w:val="nil"/>
              <w:bottom w:val="nil"/>
              <w:right w:val="nil"/>
            </w:tcBorders>
          </w:tcPr>
          <w:p w14:paraId="3C937CAB" w14:textId="77777777" w:rsidR="00413B42" w:rsidRPr="00FC3654" w:rsidRDefault="00413B42" w:rsidP="00331A74">
            <w:pPr>
              <w:pStyle w:val="FSCtblMain"/>
            </w:pPr>
            <w:r w:rsidRPr="00FC3654">
              <w:t>Polyoxyethylene (40) stearate</w:t>
            </w:r>
          </w:p>
        </w:tc>
        <w:tc>
          <w:tcPr>
            <w:tcW w:w="1020" w:type="dxa"/>
            <w:tcBorders>
              <w:top w:val="nil"/>
              <w:left w:val="nil"/>
              <w:bottom w:val="nil"/>
              <w:right w:val="nil"/>
            </w:tcBorders>
          </w:tcPr>
          <w:p w14:paraId="012276D4" w14:textId="77777777" w:rsidR="00413B42" w:rsidRPr="00FC3654" w:rsidRDefault="00413B42" w:rsidP="00331A74">
            <w:pPr>
              <w:pStyle w:val="FSCtblMain"/>
            </w:pPr>
            <w:r w:rsidRPr="00FC3654">
              <w:t>431</w:t>
            </w:r>
          </w:p>
        </w:tc>
      </w:tr>
    </w:tbl>
    <w:p w14:paraId="73D0CB1B" w14:textId="77777777" w:rsidR="00413B42" w:rsidRPr="00964ECB" w:rsidRDefault="00413B42" w:rsidP="00413B42">
      <w:pPr>
        <w:tabs>
          <w:tab w:val="left" w:pos="851"/>
        </w:tabs>
        <w:spacing w:before="60" w:after="60"/>
        <w:rPr>
          <w:rFonts w:cs="Arial"/>
          <w:iCs/>
          <w:sz w:val="20"/>
          <w:lang w:eastAsia="en-AU"/>
        </w:rPr>
      </w:pPr>
      <w:r>
        <w:rPr>
          <w:rFonts w:cs="Arial"/>
          <w:iCs/>
          <w:sz w:val="20"/>
          <w:lang w:eastAsia="en-AU"/>
        </w:rPr>
        <w:br/>
      </w:r>
      <w:r w:rsidRPr="00964ECB">
        <w:rPr>
          <w:rFonts w:cs="Arial"/>
          <w:iCs/>
          <w:sz w:val="20"/>
          <w:lang w:eastAsia="en-AU"/>
        </w:rPr>
        <w:t>substituting</w:t>
      </w:r>
    </w:p>
    <w:p w14:paraId="2C0CCBF3" w14:textId="77777777" w:rsidR="00413B42" w:rsidRDefault="00413B42" w:rsidP="00413B42">
      <w:pPr>
        <w:tabs>
          <w:tab w:val="left" w:pos="851"/>
        </w:tabs>
        <w:spacing w:before="60" w:after="60"/>
        <w:rPr>
          <w:rFonts w:cs="Arial"/>
          <w:iCs/>
          <w:sz w:val="20"/>
          <w:lang w:eastAsia="en-AU"/>
        </w:rPr>
      </w:pPr>
    </w:p>
    <w:tbl>
      <w:tblPr>
        <w:tblStyle w:val="TableGrid3"/>
        <w:tblW w:w="4422" w:type="dxa"/>
        <w:tblInd w:w="-108" w:type="dxa"/>
        <w:tblLook w:val="04A0" w:firstRow="1" w:lastRow="0" w:firstColumn="1" w:lastColumn="0" w:noHBand="0" w:noVBand="1"/>
      </w:tblPr>
      <w:tblGrid>
        <w:gridCol w:w="3402"/>
        <w:gridCol w:w="1020"/>
      </w:tblGrid>
      <w:tr w:rsidR="00413B42" w:rsidRPr="00FC3654" w14:paraId="48DDAA24" w14:textId="77777777" w:rsidTr="00331A74">
        <w:trPr>
          <w:cantSplit/>
        </w:trPr>
        <w:tc>
          <w:tcPr>
            <w:tcW w:w="3402" w:type="dxa"/>
            <w:tcBorders>
              <w:top w:val="nil"/>
              <w:left w:val="nil"/>
              <w:bottom w:val="nil"/>
              <w:right w:val="nil"/>
            </w:tcBorders>
          </w:tcPr>
          <w:p w14:paraId="01F8F230" w14:textId="77777777" w:rsidR="00413B42" w:rsidRPr="00FC3654" w:rsidRDefault="00413B42" w:rsidP="00331A74">
            <w:pPr>
              <w:pStyle w:val="FSCtblMain"/>
            </w:pPr>
            <w:r w:rsidRPr="00FC3654">
              <w:t>Polyoxyethylene (40) stearate</w:t>
            </w:r>
          </w:p>
        </w:tc>
        <w:tc>
          <w:tcPr>
            <w:tcW w:w="1020" w:type="dxa"/>
            <w:tcBorders>
              <w:top w:val="nil"/>
              <w:left w:val="nil"/>
              <w:bottom w:val="nil"/>
              <w:right w:val="nil"/>
            </w:tcBorders>
          </w:tcPr>
          <w:p w14:paraId="466FC4CC" w14:textId="77777777" w:rsidR="00413B42" w:rsidRPr="00FC3654" w:rsidRDefault="00413B42" w:rsidP="00331A74">
            <w:pPr>
              <w:pStyle w:val="FSCtblMain"/>
            </w:pPr>
            <w:r w:rsidRPr="00FC3654">
              <w:t>431</w:t>
            </w:r>
          </w:p>
        </w:tc>
      </w:tr>
      <w:tr w:rsidR="00413B42" w:rsidRPr="00FC3654" w14:paraId="1FBBCB5C" w14:textId="77777777" w:rsidTr="00331A74">
        <w:trPr>
          <w:cantSplit/>
        </w:trPr>
        <w:tc>
          <w:tcPr>
            <w:tcW w:w="3402" w:type="dxa"/>
            <w:tcBorders>
              <w:top w:val="nil"/>
              <w:left w:val="nil"/>
              <w:bottom w:val="nil"/>
              <w:right w:val="nil"/>
            </w:tcBorders>
          </w:tcPr>
          <w:p w14:paraId="7AD5045C" w14:textId="77777777" w:rsidR="00413B42" w:rsidRPr="00FC3654" w:rsidRDefault="00413B42" w:rsidP="00331A74">
            <w:pPr>
              <w:pStyle w:val="FSCtblMain"/>
            </w:pPr>
            <w:r w:rsidRPr="00FC3654">
              <w:t xml:space="preserve">Polysorbate </w:t>
            </w:r>
            <w:r>
              <w:t>20</w:t>
            </w:r>
            <w:r w:rsidRPr="00FC3654">
              <w:t xml:space="preserve"> or Polyoxy</w:t>
            </w:r>
            <w:r>
              <w:t xml:space="preserve">ethylene (20)     sorbitan </w:t>
            </w:r>
            <w:r w:rsidRPr="00964ECB">
              <w:t>monolaurate</w:t>
            </w:r>
          </w:p>
        </w:tc>
        <w:tc>
          <w:tcPr>
            <w:tcW w:w="1020" w:type="dxa"/>
            <w:tcBorders>
              <w:top w:val="nil"/>
              <w:left w:val="nil"/>
              <w:bottom w:val="nil"/>
              <w:right w:val="nil"/>
            </w:tcBorders>
          </w:tcPr>
          <w:p w14:paraId="59154318" w14:textId="77777777" w:rsidR="00413B42" w:rsidRPr="00FC3654" w:rsidRDefault="00413B42" w:rsidP="00331A74">
            <w:pPr>
              <w:pStyle w:val="FSCtblMain"/>
            </w:pPr>
            <w:r>
              <w:t>432</w:t>
            </w:r>
          </w:p>
        </w:tc>
      </w:tr>
    </w:tbl>
    <w:p w14:paraId="02754185" w14:textId="77777777" w:rsidR="00413B42" w:rsidRPr="00964ECB" w:rsidRDefault="00413B42" w:rsidP="00413B42">
      <w:pPr>
        <w:tabs>
          <w:tab w:val="left" w:pos="851"/>
        </w:tabs>
        <w:rPr>
          <w:szCs w:val="20"/>
        </w:rPr>
      </w:pPr>
    </w:p>
    <w:p w14:paraId="675F4E86" w14:textId="77777777" w:rsidR="00413B42" w:rsidRDefault="00413B42" w:rsidP="00413B42">
      <w:pPr>
        <w:tabs>
          <w:tab w:val="left" w:pos="851"/>
        </w:tabs>
        <w:spacing w:before="60" w:after="60"/>
        <w:rPr>
          <w:rFonts w:cs="Arial"/>
          <w:iCs/>
          <w:sz w:val="20"/>
          <w:lang w:eastAsia="en-AU"/>
        </w:rPr>
      </w:pPr>
      <w:r>
        <w:rPr>
          <w:rFonts w:cs="Arial"/>
          <w:b/>
          <w:iCs/>
          <w:sz w:val="20"/>
          <w:lang w:eastAsia="en-AU"/>
        </w:rPr>
        <w:t>[1</w:t>
      </w:r>
      <w:r w:rsidRPr="00964ECB">
        <w:rPr>
          <w:rFonts w:cs="Arial"/>
          <w:b/>
          <w:iCs/>
          <w:sz w:val="20"/>
          <w:lang w:eastAsia="en-AU"/>
        </w:rPr>
        <w:t>.2]</w:t>
      </w:r>
      <w:r w:rsidRPr="00964ECB">
        <w:rPr>
          <w:rFonts w:cs="Arial"/>
          <w:b/>
          <w:iCs/>
          <w:sz w:val="20"/>
          <w:lang w:eastAsia="en-AU"/>
        </w:rPr>
        <w:tab/>
      </w:r>
      <w:r w:rsidRPr="00964ECB">
        <w:rPr>
          <w:rFonts w:cs="Arial"/>
          <w:iCs/>
          <w:sz w:val="20"/>
          <w:lang w:eastAsia="en-AU"/>
        </w:rPr>
        <w:t xml:space="preserve">omitting the </w:t>
      </w:r>
      <w:r>
        <w:rPr>
          <w:rFonts w:cs="Arial"/>
          <w:iCs/>
          <w:sz w:val="20"/>
          <w:lang w:eastAsia="en-AU"/>
        </w:rPr>
        <w:t xml:space="preserve">following from </w:t>
      </w:r>
      <w:r w:rsidRPr="00964ECB">
        <w:rPr>
          <w:rFonts w:cs="Arial"/>
          <w:iCs/>
          <w:sz w:val="20"/>
          <w:lang w:eastAsia="en-AU"/>
        </w:rPr>
        <w:t xml:space="preserve">the </w:t>
      </w:r>
      <w:r>
        <w:rPr>
          <w:rFonts w:cs="Arial"/>
          <w:iCs/>
          <w:sz w:val="20"/>
          <w:lang w:eastAsia="en-AU"/>
        </w:rPr>
        <w:t>table to section S8—2,</w:t>
      </w:r>
    </w:p>
    <w:p w14:paraId="4E546843" w14:textId="77777777" w:rsidR="00413B42" w:rsidRPr="00964ECB" w:rsidRDefault="00413B42" w:rsidP="00413B42">
      <w:pPr>
        <w:tabs>
          <w:tab w:val="left" w:pos="851"/>
        </w:tabs>
        <w:spacing w:before="60" w:after="60"/>
        <w:rPr>
          <w:rFonts w:cs="Arial"/>
          <w:iCs/>
          <w:sz w:val="20"/>
          <w:lang w:eastAsia="en-AU"/>
        </w:rPr>
      </w:pP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413B42" w:rsidRPr="00FC3654" w14:paraId="4C9BE75A" w14:textId="77777777" w:rsidTr="00331A74">
        <w:trPr>
          <w:cantSplit/>
        </w:trPr>
        <w:tc>
          <w:tcPr>
            <w:tcW w:w="1020" w:type="dxa"/>
          </w:tcPr>
          <w:p w14:paraId="1730AD4E" w14:textId="77777777" w:rsidR="00413B42" w:rsidRPr="00FC3654" w:rsidRDefault="00413B42" w:rsidP="00331A74">
            <w:pPr>
              <w:pStyle w:val="FSCtblMain"/>
            </w:pPr>
            <w:r w:rsidRPr="00FC3654">
              <w:t>431</w:t>
            </w:r>
          </w:p>
        </w:tc>
        <w:tc>
          <w:tcPr>
            <w:tcW w:w="3402" w:type="dxa"/>
          </w:tcPr>
          <w:p w14:paraId="41755071" w14:textId="77777777" w:rsidR="00413B42" w:rsidRPr="00FC3654" w:rsidRDefault="00413B42" w:rsidP="00331A74">
            <w:pPr>
              <w:pStyle w:val="FSCtblMain"/>
            </w:pPr>
            <w:r w:rsidRPr="00FC3654">
              <w:t>Polyoxyethylene (40) stearate</w:t>
            </w:r>
          </w:p>
        </w:tc>
      </w:tr>
    </w:tbl>
    <w:p w14:paraId="14073B8B" w14:textId="77777777" w:rsidR="00413B42" w:rsidRDefault="00413B42" w:rsidP="00413B42">
      <w:pPr>
        <w:tabs>
          <w:tab w:val="left" w:pos="851"/>
        </w:tabs>
        <w:spacing w:before="60" w:after="60"/>
        <w:rPr>
          <w:rFonts w:cs="Arial"/>
          <w:iCs/>
          <w:sz w:val="20"/>
          <w:lang w:eastAsia="en-AU"/>
        </w:rPr>
      </w:pPr>
      <w:r>
        <w:rPr>
          <w:rFonts w:cs="Arial"/>
          <w:iCs/>
          <w:sz w:val="20"/>
          <w:lang w:eastAsia="en-AU"/>
        </w:rPr>
        <w:br/>
      </w:r>
      <w:r w:rsidRPr="00964ECB">
        <w:rPr>
          <w:rFonts w:cs="Arial"/>
          <w:iCs/>
          <w:sz w:val="20"/>
          <w:lang w:eastAsia="en-AU"/>
        </w:rPr>
        <w:t>substituting</w:t>
      </w:r>
      <w:r w:rsidRPr="00964ECB">
        <w:rPr>
          <w:rFonts w:cs="Arial"/>
          <w:iCs/>
          <w:sz w:val="20"/>
          <w:lang w:eastAsia="en-AU"/>
        </w:rPr>
        <w:br/>
      </w: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413B42" w:rsidRPr="00FC3654" w14:paraId="4D967B21" w14:textId="77777777" w:rsidTr="00331A74">
        <w:trPr>
          <w:cantSplit/>
        </w:trPr>
        <w:tc>
          <w:tcPr>
            <w:tcW w:w="1020" w:type="dxa"/>
          </w:tcPr>
          <w:p w14:paraId="748400C9" w14:textId="77777777" w:rsidR="00413B42" w:rsidRPr="00FC3654" w:rsidRDefault="00413B42" w:rsidP="00331A74">
            <w:pPr>
              <w:pStyle w:val="FSCtblMain"/>
            </w:pPr>
            <w:r w:rsidRPr="00FC3654">
              <w:t>431</w:t>
            </w:r>
          </w:p>
        </w:tc>
        <w:tc>
          <w:tcPr>
            <w:tcW w:w="3402" w:type="dxa"/>
          </w:tcPr>
          <w:p w14:paraId="071F0F31" w14:textId="77777777" w:rsidR="00413B42" w:rsidRPr="00FC3654" w:rsidRDefault="00413B42" w:rsidP="00331A74">
            <w:pPr>
              <w:pStyle w:val="FSCtblMain"/>
            </w:pPr>
            <w:r w:rsidRPr="00FC3654">
              <w:t>Polyoxyethylene (40) stearate</w:t>
            </w:r>
          </w:p>
        </w:tc>
      </w:tr>
      <w:tr w:rsidR="00413B42" w:rsidRPr="00FC3654" w14:paraId="4AC50278" w14:textId="77777777" w:rsidTr="00331A74">
        <w:trPr>
          <w:cantSplit/>
        </w:trPr>
        <w:tc>
          <w:tcPr>
            <w:tcW w:w="1020" w:type="dxa"/>
          </w:tcPr>
          <w:p w14:paraId="20FE80E6" w14:textId="77777777" w:rsidR="00413B42" w:rsidRPr="00FC3654" w:rsidRDefault="00413B42" w:rsidP="00331A74">
            <w:pPr>
              <w:pStyle w:val="FSCtblMain"/>
            </w:pPr>
            <w:r>
              <w:t>432</w:t>
            </w:r>
          </w:p>
        </w:tc>
        <w:tc>
          <w:tcPr>
            <w:tcW w:w="3402" w:type="dxa"/>
          </w:tcPr>
          <w:p w14:paraId="5EA3BE36" w14:textId="77777777" w:rsidR="00413B42" w:rsidRPr="00FC3654" w:rsidRDefault="00413B42" w:rsidP="00331A74">
            <w:pPr>
              <w:pStyle w:val="FSCtblMain"/>
            </w:pPr>
            <w:r w:rsidRPr="00FC3654">
              <w:t xml:space="preserve">Polysorbate </w:t>
            </w:r>
            <w:r>
              <w:t>20</w:t>
            </w:r>
            <w:r w:rsidRPr="00FC3654">
              <w:t xml:space="preserve"> or Pol</w:t>
            </w:r>
            <w:r>
              <w:t xml:space="preserve">yoxyethylene (20) sorbitan </w:t>
            </w:r>
            <w:r w:rsidRPr="00964ECB">
              <w:t>monolaurate</w:t>
            </w:r>
          </w:p>
        </w:tc>
      </w:tr>
    </w:tbl>
    <w:p w14:paraId="02FCA22B" w14:textId="77777777" w:rsidR="00413B42" w:rsidRPr="00FC5ED1" w:rsidRDefault="00413B42" w:rsidP="00413B42">
      <w:pPr>
        <w:tabs>
          <w:tab w:val="left" w:pos="851"/>
        </w:tabs>
        <w:spacing w:before="60" w:after="60"/>
        <w:rPr>
          <w:rFonts w:cs="Arial"/>
          <w:iCs/>
          <w:sz w:val="20"/>
          <w:lang w:eastAsia="en-AU"/>
        </w:rPr>
      </w:pPr>
    </w:p>
    <w:p w14:paraId="30E606AA" w14:textId="77777777" w:rsidR="00413B42" w:rsidRPr="00D42EB3" w:rsidRDefault="00413B42" w:rsidP="00413B42">
      <w:pPr>
        <w:spacing w:before="120" w:after="120"/>
        <w:ind w:left="851" w:hanging="851"/>
        <w:rPr>
          <w:sz w:val="20"/>
          <w:szCs w:val="20"/>
        </w:rPr>
      </w:pPr>
      <w:r>
        <w:rPr>
          <w:b/>
          <w:sz w:val="20"/>
          <w:szCs w:val="20"/>
        </w:rPr>
        <w:t>[2]</w:t>
      </w:r>
      <w:r>
        <w:rPr>
          <w:b/>
          <w:sz w:val="20"/>
          <w:szCs w:val="20"/>
        </w:rPr>
        <w:tab/>
        <w:t>Schedule 15</w:t>
      </w:r>
      <w:r w:rsidRPr="00D42EB3">
        <w:rPr>
          <w:b/>
          <w:sz w:val="20"/>
          <w:szCs w:val="20"/>
        </w:rPr>
        <w:t xml:space="preserve"> </w:t>
      </w:r>
      <w:r w:rsidRPr="00D42EB3">
        <w:rPr>
          <w:sz w:val="20"/>
          <w:szCs w:val="20"/>
        </w:rPr>
        <w:t xml:space="preserve">is varied by </w:t>
      </w:r>
    </w:p>
    <w:p w14:paraId="039A86B3" w14:textId="77777777" w:rsidR="00413B42" w:rsidRPr="00D42EB3" w:rsidRDefault="00413B42" w:rsidP="00413B42">
      <w:pPr>
        <w:tabs>
          <w:tab w:val="left" w:pos="1701"/>
        </w:tabs>
        <w:spacing w:before="60" w:after="60"/>
        <w:rPr>
          <w:rFonts w:cs="Arial"/>
          <w:iCs/>
          <w:sz w:val="20"/>
          <w:lang w:eastAsia="en-AU"/>
        </w:rPr>
      </w:pPr>
    </w:p>
    <w:bookmarkEnd w:id="95"/>
    <w:bookmarkEnd w:id="96"/>
    <w:bookmarkEnd w:id="97"/>
    <w:p w14:paraId="5A2E2A76" w14:textId="77777777" w:rsidR="00413B42" w:rsidRPr="00964ECB" w:rsidRDefault="00413B42" w:rsidP="00413B42">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.1]</w:t>
      </w:r>
      <w:r w:rsidRPr="00964ECB">
        <w:rPr>
          <w:rFonts w:cs="Arial"/>
          <w:b/>
          <w:iCs/>
          <w:sz w:val="20"/>
          <w:lang w:eastAsia="en-AU"/>
        </w:rPr>
        <w:tab/>
      </w:r>
      <w:r w:rsidRPr="00964ECB">
        <w:rPr>
          <w:rFonts w:cs="Arial"/>
          <w:iCs/>
          <w:sz w:val="20"/>
          <w:lang w:eastAsia="en-AU"/>
        </w:rPr>
        <w:t>omitting the following from item 8.2 of the table to section S15—5,</w:t>
      </w:r>
    </w:p>
    <w:p w14:paraId="381FDBDE" w14:textId="77777777" w:rsidR="00413B42" w:rsidRPr="00964ECB" w:rsidRDefault="00413B42" w:rsidP="00413B42">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413B42" w:rsidRPr="00964ECB" w14:paraId="2B276426" w14:textId="77777777" w:rsidTr="00331A74">
        <w:trPr>
          <w:cantSplit/>
        </w:trPr>
        <w:tc>
          <w:tcPr>
            <w:tcW w:w="1668" w:type="dxa"/>
          </w:tcPr>
          <w:p w14:paraId="394295D0" w14:textId="77777777" w:rsidR="00413B42" w:rsidRPr="00964ECB" w:rsidRDefault="00413B42" w:rsidP="00331A74">
            <w:pPr>
              <w:keepLines/>
              <w:spacing w:before="20" w:after="20"/>
              <w:rPr>
                <w:rFonts w:cs="Arial"/>
                <w:sz w:val="18"/>
              </w:rPr>
            </w:pPr>
            <w:r w:rsidRPr="00964ECB">
              <w:rPr>
                <w:rFonts w:cs="Arial"/>
                <w:sz w:val="18"/>
              </w:rPr>
              <w:t>280 281 282 283</w:t>
            </w:r>
          </w:p>
        </w:tc>
        <w:tc>
          <w:tcPr>
            <w:tcW w:w="4252" w:type="dxa"/>
          </w:tcPr>
          <w:p w14:paraId="4A7A0EF3" w14:textId="77777777" w:rsidR="00413B42" w:rsidRPr="00964ECB" w:rsidRDefault="00413B42" w:rsidP="00331A74">
            <w:pPr>
              <w:keepLines/>
              <w:spacing w:before="20" w:after="20"/>
              <w:rPr>
                <w:rFonts w:cs="Arial"/>
                <w:sz w:val="18"/>
              </w:rPr>
            </w:pPr>
            <w:r w:rsidRPr="00964ECB">
              <w:rPr>
                <w:rFonts w:cs="Arial"/>
                <w:sz w:val="18"/>
              </w:rPr>
              <w:t>Propionic acid and sodium and potassium and calcium propionates</w:t>
            </w:r>
          </w:p>
        </w:tc>
        <w:tc>
          <w:tcPr>
            <w:tcW w:w="992" w:type="dxa"/>
          </w:tcPr>
          <w:p w14:paraId="479C5792" w14:textId="77777777" w:rsidR="00413B42" w:rsidRPr="00964ECB" w:rsidRDefault="00413B42" w:rsidP="00331A74">
            <w:pPr>
              <w:keepLines/>
              <w:spacing w:before="20" w:after="20"/>
              <w:jc w:val="right"/>
              <w:rPr>
                <w:rFonts w:cs="Arial"/>
                <w:sz w:val="18"/>
              </w:rPr>
            </w:pPr>
            <w:r w:rsidRPr="00964ECB">
              <w:rPr>
                <w:rFonts w:cs="Arial"/>
                <w:sz w:val="18"/>
              </w:rPr>
              <w:t>GMP</w:t>
            </w:r>
          </w:p>
        </w:tc>
        <w:tc>
          <w:tcPr>
            <w:tcW w:w="2160" w:type="dxa"/>
          </w:tcPr>
          <w:p w14:paraId="53D846F7" w14:textId="77777777" w:rsidR="00413B42" w:rsidRPr="00964ECB" w:rsidRDefault="00413B42" w:rsidP="00331A74">
            <w:pPr>
              <w:keepLines/>
              <w:spacing w:before="20" w:after="20"/>
              <w:rPr>
                <w:rFonts w:cs="Arial"/>
                <w:sz w:val="18"/>
              </w:rPr>
            </w:pPr>
          </w:p>
        </w:tc>
      </w:tr>
    </w:tbl>
    <w:p w14:paraId="2139C74B" w14:textId="77777777" w:rsidR="00413B42" w:rsidRPr="00964ECB" w:rsidRDefault="00413B42" w:rsidP="00413B42">
      <w:pPr>
        <w:tabs>
          <w:tab w:val="left" w:pos="851"/>
        </w:tabs>
        <w:spacing w:before="60" w:after="60"/>
        <w:rPr>
          <w:rFonts w:cs="Arial"/>
          <w:iCs/>
          <w:sz w:val="20"/>
          <w:lang w:eastAsia="en-AU"/>
        </w:rPr>
      </w:pPr>
      <w:r w:rsidRPr="00964ECB">
        <w:rPr>
          <w:rFonts w:cs="Arial"/>
          <w:iCs/>
          <w:sz w:val="20"/>
          <w:lang w:eastAsia="en-AU"/>
        </w:rPr>
        <w:t>substituting</w:t>
      </w:r>
    </w:p>
    <w:p w14:paraId="409F58A5" w14:textId="77777777" w:rsidR="00413B42" w:rsidRPr="00964ECB" w:rsidRDefault="00413B42" w:rsidP="00413B42">
      <w:pPr>
        <w:tabs>
          <w:tab w:val="left" w:pos="851"/>
        </w:tabs>
        <w:spacing w:before="60" w:after="60"/>
        <w:rPr>
          <w:rFonts w:cs="Arial"/>
          <w:iCs/>
          <w:sz w:val="20"/>
          <w:lang w:eastAsia="en-AU"/>
        </w:rPr>
      </w:pPr>
    </w:p>
    <w:tbl>
      <w:tblPr>
        <w:tblStyle w:val="TableGrid1"/>
        <w:tblW w:w="9072" w:type="dxa"/>
        <w:tblInd w:w="-5" w:type="dxa"/>
        <w:tblLook w:val="04A0" w:firstRow="1" w:lastRow="0" w:firstColumn="1" w:lastColumn="0" w:noHBand="0" w:noVBand="1"/>
      </w:tblPr>
      <w:tblGrid>
        <w:gridCol w:w="1668"/>
        <w:gridCol w:w="4252"/>
        <w:gridCol w:w="992"/>
        <w:gridCol w:w="2160"/>
      </w:tblGrid>
      <w:tr w:rsidR="00413B42" w:rsidRPr="00964ECB" w14:paraId="5B90FD29" w14:textId="77777777" w:rsidTr="00331A74">
        <w:tc>
          <w:tcPr>
            <w:tcW w:w="1668" w:type="dxa"/>
            <w:tcBorders>
              <w:top w:val="nil"/>
              <w:left w:val="nil"/>
              <w:bottom w:val="nil"/>
              <w:right w:val="nil"/>
            </w:tcBorders>
          </w:tcPr>
          <w:p w14:paraId="3C1887F6" w14:textId="77777777" w:rsidR="00413B42" w:rsidRPr="00964ECB" w:rsidRDefault="00413B42" w:rsidP="00331A74">
            <w:pPr>
              <w:keepLines/>
              <w:spacing w:before="20" w:after="20"/>
              <w:rPr>
                <w:rFonts w:cs="Arial"/>
                <w:sz w:val="18"/>
              </w:rPr>
            </w:pPr>
            <w:r w:rsidRPr="00964ECB">
              <w:rPr>
                <w:rFonts w:cs="Arial"/>
                <w:sz w:val="18"/>
              </w:rPr>
              <w:t>280 281 282 283</w:t>
            </w:r>
          </w:p>
        </w:tc>
        <w:tc>
          <w:tcPr>
            <w:tcW w:w="4252" w:type="dxa"/>
            <w:tcBorders>
              <w:top w:val="nil"/>
              <w:left w:val="nil"/>
              <w:bottom w:val="nil"/>
              <w:right w:val="nil"/>
            </w:tcBorders>
          </w:tcPr>
          <w:p w14:paraId="1424AFED" w14:textId="77777777" w:rsidR="00413B42" w:rsidRPr="00964ECB" w:rsidRDefault="00413B42" w:rsidP="00331A74">
            <w:pPr>
              <w:keepLines/>
              <w:spacing w:before="20" w:after="20"/>
              <w:rPr>
                <w:rFonts w:cs="Arial"/>
                <w:sz w:val="18"/>
              </w:rPr>
            </w:pPr>
            <w:r w:rsidRPr="00964ECB">
              <w:rPr>
                <w:rFonts w:cs="Arial"/>
                <w:sz w:val="18"/>
              </w:rPr>
              <w:t>Propionic acid and sodium and potassium and calcium propionates</w:t>
            </w:r>
          </w:p>
        </w:tc>
        <w:tc>
          <w:tcPr>
            <w:tcW w:w="992" w:type="dxa"/>
            <w:tcBorders>
              <w:top w:val="nil"/>
              <w:left w:val="nil"/>
              <w:bottom w:val="nil"/>
              <w:right w:val="nil"/>
            </w:tcBorders>
          </w:tcPr>
          <w:p w14:paraId="5E7DDC7B" w14:textId="77777777" w:rsidR="00413B42" w:rsidRPr="00964ECB" w:rsidRDefault="00413B42" w:rsidP="00331A74">
            <w:pPr>
              <w:keepLines/>
              <w:spacing w:before="20" w:after="20"/>
              <w:jc w:val="right"/>
              <w:rPr>
                <w:rFonts w:cs="Arial"/>
                <w:sz w:val="18"/>
              </w:rPr>
            </w:pPr>
            <w:r w:rsidRPr="00964ECB">
              <w:rPr>
                <w:rFonts w:cs="Arial"/>
                <w:sz w:val="18"/>
              </w:rPr>
              <w:t>GMP</w:t>
            </w:r>
          </w:p>
        </w:tc>
        <w:tc>
          <w:tcPr>
            <w:tcW w:w="2160" w:type="dxa"/>
            <w:tcBorders>
              <w:top w:val="nil"/>
              <w:left w:val="nil"/>
              <w:bottom w:val="nil"/>
              <w:right w:val="nil"/>
            </w:tcBorders>
          </w:tcPr>
          <w:p w14:paraId="1D803C2B" w14:textId="77777777" w:rsidR="00413B42" w:rsidRPr="00964ECB" w:rsidRDefault="00413B42" w:rsidP="00331A74">
            <w:pPr>
              <w:keepLines/>
              <w:spacing w:before="20" w:after="20"/>
              <w:rPr>
                <w:rFonts w:cs="Arial"/>
                <w:sz w:val="18"/>
              </w:rPr>
            </w:pPr>
          </w:p>
        </w:tc>
      </w:tr>
      <w:tr w:rsidR="00413B42" w:rsidRPr="00964ECB" w14:paraId="53EA78F5" w14:textId="77777777" w:rsidTr="00331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644CE8EE" w14:textId="77777777" w:rsidR="00413B42" w:rsidRPr="00964ECB" w:rsidRDefault="00413B42" w:rsidP="00331A74">
            <w:pPr>
              <w:keepLines/>
              <w:spacing w:before="20" w:after="20"/>
              <w:rPr>
                <w:rFonts w:cs="Arial"/>
                <w:sz w:val="18"/>
              </w:rPr>
            </w:pPr>
            <w:r w:rsidRPr="00964ECB">
              <w:rPr>
                <w:rFonts w:cs="Arial"/>
                <w:sz w:val="18"/>
              </w:rPr>
              <w:t>432</w:t>
            </w:r>
          </w:p>
        </w:tc>
        <w:tc>
          <w:tcPr>
            <w:tcW w:w="4252" w:type="dxa"/>
          </w:tcPr>
          <w:p w14:paraId="7590E6E6" w14:textId="77777777" w:rsidR="00413B42" w:rsidRPr="00964ECB" w:rsidRDefault="00413B42" w:rsidP="00331A74">
            <w:pPr>
              <w:keepLines/>
              <w:spacing w:before="20" w:after="20"/>
              <w:rPr>
                <w:rFonts w:cs="Arial"/>
                <w:sz w:val="18"/>
              </w:rPr>
            </w:pPr>
            <w:r w:rsidRPr="00964ECB">
              <w:rPr>
                <w:rFonts w:cs="Arial"/>
                <w:sz w:val="18"/>
              </w:rPr>
              <w:t xml:space="preserve">Polyoxyethylene </w:t>
            </w:r>
            <w:r>
              <w:rPr>
                <w:rFonts w:cs="Arial"/>
                <w:sz w:val="18"/>
              </w:rPr>
              <w:t xml:space="preserve">(20) </w:t>
            </w:r>
            <w:r w:rsidRPr="00964ECB">
              <w:rPr>
                <w:rFonts w:cs="Arial"/>
                <w:sz w:val="18"/>
              </w:rPr>
              <w:t>sorbitan monolaurate</w:t>
            </w:r>
          </w:p>
        </w:tc>
        <w:tc>
          <w:tcPr>
            <w:tcW w:w="992" w:type="dxa"/>
          </w:tcPr>
          <w:p w14:paraId="52F6E9BC" w14:textId="77777777" w:rsidR="00413B42" w:rsidRPr="00964ECB" w:rsidRDefault="00413B42" w:rsidP="00331A74">
            <w:pPr>
              <w:keepLines/>
              <w:spacing w:before="20" w:after="20"/>
              <w:jc w:val="right"/>
              <w:rPr>
                <w:rFonts w:cs="Arial"/>
                <w:sz w:val="18"/>
              </w:rPr>
            </w:pPr>
            <w:r w:rsidRPr="00964ECB">
              <w:rPr>
                <w:rFonts w:cs="Arial"/>
                <w:sz w:val="18"/>
              </w:rPr>
              <w:t>500</w:t>
            </w:r>
          </w:p>
        </w:tc>
        <w:tc>
          <w:tcPr>
            <w:tcW w:w="2160" w:type="dxa"/>
          </w:tcPr>
          <w:p w14:paraId="6571A597" w14:textId="77777777" w:rsidR="00413B42" w:rsidRPr="00964ECB" w:rsidRDefault="00413B42" w:rsidP="00331A74">
            <w:pPr>
              <w:keepLines/>
              <w:spacing w:before="20" w:after="20"/>
              <w:rPr>
                <w:rFonts w:cs="Arial"/>
                <w:sz w:val="18"/>
              </w:rPr>
            </w:pPr>
          </w:p>
        </w:tc>
      </w:tr>
    </w:tbl>
    <w:p w14:paraId="652F2671" w14:textId="77777777" w:rsidR="00413B42" w:rsidRPr="00964ECB" w:rsidRDefault="00413B42" w:rsidP="00413B42">
      <w:pPr>
        <w:tabs>
          <w:tab w:val="left" w:pos="851"/>
        </w:tabs>
        <w:rPr>
          <w:szCs w:val="20"/>
        </w:rPr>
      </w:pPr>
    </w:p>
    <w:p w14:paraId="5CE2BC47" w14:textId="77777777" w:rsidR="00413B42" w:rsidRPr="00964ECB" w:rsidRDefault="00413B42" w:rsidP="00413B42">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.2]</w:t>
      </w:r>
      <w:r w:rsidRPr="00964ECB">
        <w:rPr>
          <w:rFonts w:cs="Arial"/>
          <w:b/>
          <w:iCs/>
          <w:sz w:val="20"/>
          <w:lang w:eastAsia="en-AU"/>
        </w:rPr>
        <w:tab/>
      </w:r>
      <w:r w:rsidRPr="00964ECB">
        <w:rPr>
          <w:rFonts w:cs="Arial"/>
          <w:iCs/>
          <w:sz w:val="20"/>
          <w:lang w:eastAsia="en-AU"/>
        </w:rPr>
        <w:t xml:space="preserve">omitting the following from item 8.3 of the table to section S15—5, </w:t>
      </w:r>
    </w:p>
    <w:p w14:paraId="015DD9F8" w14:textId="77777777" w:rsidR="00413B42" w:rsidRPr="00964ECB" w:rsidRDefault="00413B42" w:rsidP="00413B42">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413B42" w:rsidRPr="00964ECB" w14:paraId="75AC0FD6" w14:textId="77777777" w:rsidTr="00331A74">
        <w:trPr>
          <w:cantSplit/>
        </w:trPr>
        <w:tc>
          <w:tcPr>
            <w:tcW w:w="1668" w:type="dxa"/>
          </w:tcPr>
          <w:p w14:paraId="087FC156" w14:textId="77777777" w:rsidR="00413B42" w:rsidRPr="00964ECB" w:rsidRDefault="00413B42" w:rsidP="00331A74">
            <w:pPr>
              <w:keepLines/>
              <w:spacing w:before="20" w:after="20"/>
              <w:rPr>
                <w:rFonts w:cs="Arial"/>
                <w:sz w:val="18"/>
              </w:rPr>
            </w:pPr>
            <w:r w:rsidRPr="00964ECB">
              <w:rPr>
                <w:rFonts w:cs="Arial"/>
                <w:sz w:val="18"/>
              </w:rPr>
              <w:t>280 281 282 283</w:t>
            </w:r>
          </w:p>
        </w:tc>
        <w:tc>
          <w:tcPr>
            <w:tcW w:w="4252" w:type="dxa"/>
          </w:tcPr>
          <w:p w14:paraId="2828A33D" w14:textId="77777777" w:rsidR="00413B42" w:rsidRPr="00964ECB" w:rsidRDefault="00413B42" w:rsidP="00331A74">
            <w:pPr>
              <w:keepLines/>
              <w:spacing w:before="20" w:after="20"/>
              <w:rPr>
                <w:rFonts w:cs="Arial"/>
                <w:sz w:val="18"/>
              </w:rPr>
            </w:pPr>
            <w:r w:rsidRPr="00964ECB">
              <w:rPr>
                <w:rFonts w:cs="Arial"/>
                <w:sz w:val="18"/>
              </w:rPr>
              <w:t>Propionic acid and sodium and potassium and calcium propionates</w:t>
            </w:r>
          </w:p>
        </w:tc>
        <w:tc>
          <w:tcPr>
            <w:tcW w:w="992" w:type="dxa"/>
          </w:tcPr>
          <w:p w14:paraId="3A0B1378" w14:textId="77777777" w:rsidR="00413B42" w:rsidRPr="00964ECB" w:rsidRDefault="00413B42" w:rsidP="00331A74">
            <w:pPr>
              <w:keepLines/>
              <w:spacing w:before="20" w:after="20"/>
              <w:jc w:val="right"/>
              <w:rPr>
                <w:rFonts w:cs="Arial"/>
                <w:sz w:val="18"/>
              </w:rPr>
            </w:pPr>
            <w:r w:rsidRPr="00964ECB">
              <w:rPr>
                <w:rFonts w:cs="Arial"/>
                <w:sz w:val="18"/>
              </w:rPr>
              <w:t>GMP</w:t>
            </w:r>
          </w:p>
        </w:tc>
        <w:tc>
          <w:tcPr>
            <w:tcW w:w="2160" w:type="dxa"/>
          </w:tcPr>
          <w:p w14:paraId="55F6BC8B" w14:textId="77777777" w:rsidR="00413B42" w:rsidRPr="00964ECB" w:rsidRDefault="00413B42" w:rsidP="00331A74">
            <w:pPr>
              <w:keepLines/>
              <w:spacing w:before="20" w:after="20"/>
              <w:rPr>
                <w:rFonts w:cs="Arial"/>
                <w:sz w:val="18"/>
              </w:rPr>
            </w:pPr>
          </w:p>
        </w:tc>
      </w:tr>
    </w:tbl>
    <w:p w14:paraId="64E881CC" w14:textId="77777777" w:rsidR="00413B42" w:rsidRPr="00964ECB" w:rsidRDefault="00413B42" w:rsidP="00413B42">
      <w:pPr>
        <w:tabs>
          <w:tab w:val="left" w:pos="851"/>
        </w:tabs>
        <w:spacing w:before="60" w:after="60"/>
        <w:rPr>
          <w:rFonts w:cs="Arial"/>
          <w:iCs/>
          <w:sz w:val="20"/>
          <w:lang w:eastAsia="en-AU"/>
        </w:rPr>
      </w:pPr>
      <w:r w:rsidRPr="00964ECB">
        <w:rPr>
          <w:rFonts w:cs="Arial"/>
          <w:iCs/>
          <w:sz w:val="20"/>
          <w:lang w:eastAsia="en-AU"/>
        </w:rPr>
        <w:t>substituting</w:t>
      </w:r>
      <w:r w:rsidRPr="00964ECB">
        <w:rPr>
          <w:rFonts w:cs="Arial"/>
          <w:iCs/>
          <w:sz w:val="20"/>
          <w:lang w:eastAsia="en-AU"/>
        </w:rPr>
        <w:br/>
      </w:r>
    </w:p>
    <w:tbl>
      <w:tblPr>
        <w:tblStyle w:val="TableGrid1"/>
        <w:tblW w:w="9072" w:type="dxa"/>
        <w:tblInd w:w="-5" w:type="dxa"/>
        <w:tblLook w:val="04A0" w:firstRow="1" w:lastRow="0" w:firstColumn="1" w:lastColumn="0" w:noHBand="0" w:noVBand="1"/>
      </w:tblPr>
      <w:tblGrid>
        <w:gridCol w:w="1668"/>
        <w:gridCol w:w="4252"/>
        <w:gridCol w:w="992"/>
        <w:gridCol w:w="2160"/>
      </w:tblGrid>
      <w:tr w:rsidR="00413B42" w:rsidRPr="00964ECB" w14:paraId="7E969E57" w14:textId="77777777" w:rsidTr="00331A74">
        <w:tc>
          <w:tcPr>
            <w:tcW w:w="1668" w:type="dxa"/>
            <w:tcBorders>
              <w:top w:val="nil"/>
              <w:left w:val="nil"/>
              <w:bottom w:val="nil"/>
              <w:right w:val="nil"/>
            </w:tcBorders>
          </w:tcPr>
          <w:p w14:paraId="46C84F18" w14:textId="77777777" w:rsidR="00413B42" w:rsidRPr="00964ECB" w:rsidRDefault="00413B42" w:rsidP="00331A74">
            <w:pPr>
              <w:keepLines/>
              <w:spacing w:before="20" w:after="20"/>
              <w:rPr>
                <w:rFonts w:cs="Arial"/>
                <w:sz w:val="18"/>
              </w:rPr>
            </w:pPr>
            <w:r w:rsidRPr="00964ECB">
              <w:rPr>
                <w:rFonts w:cs="Arial"/>
                <w:sz w:val="18"/>
              </w:rPr>
              <w:t>280 281 282 283</w:t>
            </w:r>
          </w:p>
        </w:tc>
        <w:tc>
          <w:tcPr>
            <w:tcW w:w="4252" w:type="dxa"/>
            <w:tcBorders>
              <w:top w:val="nil"/>
              <w:left w:val="nil"/>
              <w:bottom w:val="nil"/>
              <w:right w:val="nil"/>
            </w:tcBorders>
          </w:tcPr>
          <w:p w14:paraId="0D8F1959" w14:textId="77777777" w:rsidR="00413B42" w:rsidRPr="00964ECB" w:rsidRDefault="00413B42" w:rsidP="00331A74">
            <w:pPr>
              <w:keepLines/>
              <w:spacing w:before="20" w:after="20"/>
              <w:rPr>
                <w:rFonts w:cs="Arial"/>
                <w:sz w:val="18"/>
              </w:rPr>
            </w:pPr>
            <w:r w:rsidRPr="00964ECB">
              <w:rPr>
                <w:rFonts w:cs="Arial"/>
                <w:sz w:val="18"/>
              </w:rPr>
              <w:t>Propionic acid and sodium and potassium and calcium propionates</w:t>
            </w:r>
          </w:p>
        </w:tc>
        <w:tc>
          <w:tcPr>
            <w:tcW w:w="992" w:type="dxa"/>
            <w:tcBorders>
              <w:top w:val="nil"/>
              <w:left w:val="nil"/>
              <w:bottom w:val="nil"/>
              <w:right w:val="nil"/>
            </w:tcBorders>
          </w:tcPr>
          <w:p w14:paraId="45CC25B3" w14:textId="77777777" w:rsidR="00413B42" w:rsidRPr="00964ECB" w:rsidRDefault="00413B42" w:rsidP="00331A74">
            <w:pPr>
              <w:keepLines/>
              <w:spacing w:before="20" w:after="20"/>
              <w:jc w:val="right"/>
              <w:rPr>
                <w:rFonts w:cs="Arial"/>
                <w:sz w:val="18"/>
              </w:rPr>
            </w:pPr>
            <w:r w:rsidRPr="00964ECB">
              <w:rPr>
                <w:rFonts w:cs="Arial"/>
                <w:sz w:val="18"/>
              </w:rPr>
              <w:t>GMP</w:t>
            </w:r>
          </w:p>
        </w:tc>
        <w:tc>
          <w:tcPr>
            <w:tcW w:w="2160" w:type="dxa"/>
            <w:tcBorders>
              <w:top w:val="nil"/>
              <w:left w:val="nil"/>
              <w:bottom w:val="nil"/>
              <w:right w:val="nil"/>
            </w:tcBorders>
          </w:tcPr>
          <w:p w14:paraId="43CF30F9" w14:textId="77777777" w:rsidR="00413B42" w:rsidRPr="00964ECB" w:rsidRDefault="00413B42" w:rsidP="00331A74">
            <w:pPr>
              <w:keepLines/>
              <w:spacing w:before="20" w:after="20"/>
              <w:rPr>
                <w:rFonts w:cs="Arial"/>
                <w:sz w:val="18"/>
              </w:rPr>
            </w:pPr>
          </w:p>
        </w:tc>
      </w:tr>
      <w:tr w:rsidR="00413B42" w:rsidRPr="00964ECB" w14:paraId="07992435" w14:textId="77777777" w:rsidTr="00331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7345604B" w14:textId="77777777" w:rsidR="00413B42" w:rsidRPr="00964ECB" w:rsidRDefault="00413B42" w:rsidP="00331A74">
            <w:pPr>
              <w:keepLines/>
              <w:spacing w:before="20" w:after="20"/>
              <w:rPr>
                <w:rFonts w:cs="Arial"/>
                <w:sz w:val="18"/>
              </w:rPr>
            </w:pPr>
            <w:r w:rsidRPr="00964ECB">
              <w:rPr>
                <w:rFonts w:cs="Arial"/>
                <w:sz w:val="18"/>
              </w:rPr>
              <w:t>432</w:t>
            </w:r>
          </w:p>
        </w:tc>
        <w:tc>
          <w:tcPr>
            <w:tcW w:w="4252" w:type="dxa"/>
          </w:tcPr>
          <w:p w14:paraId="478C24A4" w14:textId="77777777" w:rsidR="00413B42" w:rsidRPr="00964ECB" w:rsidRDefault="00413B42" w:rsidP="00331A74">
            <w:pPr>
              <w:keepLines/>
              <w:spacing w:before="20" w:after="20"/>
              <w:rPr>
                <w:rFonts w:cs="Arial"/>
                <w:sz w:val="18"/>
              </w:rPr>
            </w:pPr>
            <w:r w:rsidRPr="00964ECB">
              <w:rPr>
                <w:rFonts w:cs="Arial"/>
                <w:sz w:val="18"/>
              </w:rPr>
              <w:t xml:space="preserve">Polyoxyethylene </w:t>
            </w:r>
            <w:r>
              <w:rPr>
                <w:rFonts w:cs="Arial"/>
                <w:sz w:val="18"/>
              </w:rPr>
              <w:t xml:space="preserve">(20) </w:t>
            </w:r>
            <w:r w:rsidRPr="00964ECB">
              <w:rPr>
                <w:rFonts w:cs="Arial"/>
                <w:sz w:val="18"/>
              </w:rPr>
              <w:t>sorbitan monolaurate</w:t>
            </w:r>
          </w:p>
        </w:tc>
        <w:tc>
          <w:tcPr>
            <w:tcW w:w="992" w:type="dxa"/>
          </w:tcPr>
          <w:p w14:paraId="66668A1B" w14:textId="77777777" w:rsidR="00413B42" w:rsidRPr="00964ECB" w:rsidRDefault="00413B42" w:rsidP="00331A74">
            <w:pPr>
              <w:keepLines/>
              <w:spacing w:before="20" w:after="20"/>
              <w:jc w:val="right"/>
              <w:rPr>
                <w:rFonts w:cs="Arial"/>
                <w:sz w:val="18"/>
              </w:rPr>
            </w:pPr>
            <w:r w:rsidRPr="00964ECB">
              <w:rPr>
                <w:rFonts w:cs="Arial"/>
                <w:sz w:val="18"/>
              </w:rPr>
              <w:t>500</w:t>
            </w:r>
          </w:p>
        </w:tc>
        <w:tc>
          <w:tcPr>
            <w:tcW w:w="2160" w:type="dxa"/>
          </w:tcPr>
          <w:p w14:paraId="06CD288C" w14:textId="77777777" w:rsidR="00413B42" w:rsidRPr="00964ECB" w:rsidRDefault="00413B42" w:rsidP="00331A74">
            <w:pPr>
              <w:keepLines/>
              <w:spacing w:before="20" w:after="20"/>
              <w:rPr>
                <w:rFonts w:cs="Arial"/>
                <w:sz w:val="18"/>
              </w:rPr>
            </w:pPr>
          </w:p>
        </w:tc>
      </w:tr>
    </w:tbl>
    <w:p w14:paraId="190EB237" w14:textId="77777777" w:rsidR="00413B42" w:rsidRPr="00964ECB" w:rsidRDefault="00413B42" w:rsidP="00413B42">
      <w:pPr>
        <w:tabs>
          <w:tab w:val="left" w:pos="851"/>
        </w:tabs>
        <w:rPr>
          <w:szCs w:val="20"/>
        </w:rPr>
      </w:pPr>
    </w:p>
    <w:p w14:paraId="1BEE23D2" w14:textId="77777777" w:rsidR="00E02A3C" w:rsidRPr="00964ECB" w:rsidRDefault="00E02A3C" w:rsidP="00E02A3C">
      <w:pPr>
        <w:tabs>
          <w:tab w:val="left" w:pos="851"/>
        </w:tabs>
        <w:spacing w:before="60" w:after="60"/>
        <w:rPr>
          <w:rFonts w:cs="Arial"/>
          <w:iCs/>
          <w:sz w:val="20"/>
          <w:lang w:eastAsia="en-AU"/>
        </w:rPr>
      </w:pPr>
      <w:r>
        <w:rPr>
          <w:rFonts w:cs="Arial"/>
          <w:b/>
          <w:iCs/>
          <w:sz w:val="20"/>
          <w:lang w:eastAsia="en-AU"/>
        </w:rPr>
        <w:t>[2</w:t>
      </w:r>
      <w:r w:rsidRPr="00964ECB">
        <w:rPr>
          <w:rFonts w:cs="Arial"/>
          <w:b/>
          <w:iCs/>
          <w:sz w:val="20"/>
          <w:lang w:eastAsia="en-AU"/>
        </w:rPr>
        <w:t>.3]</w:t>
      </w:r>
      <w:r w:rsidRPr="00964ECB">
        <w:rPr>
          <w:rFonts w:cs="Arial"/>
          <w:b/>
          <w:iCs/>
          <w:sz w:val="20"/>
          <w:lang w:eastAsia="en-AU"/>
        </w:rPr>
        <w:tab/>
      </w:r>
      <w:r w:rsidRPr="00964ECB">
        <w:rPr>
          <w:rFonts w:cs="Arial"/>
          <w:iCs/>
          <w:sz w:val="20"/>
          <w:lang w:eastAsia="en-AU"/>
        </w:rPr>
        <w:t>omit</w:t>
      </w:r>
      <w:r>
        <w:rPr>
          <w:rFonts w:cs="Arial"/>
          <w:iCs/>
          <w:sz w:val="20"/>
          <w:lang w:eastAsia="en-AU"/>
        </w:rPr>
        <w:t xml:space="preserve">ting the following </w:t>
      </w:r>
      <w:r w:rsidRPr="00F139CE">
        <w:rPr>
          <w:rFonts w:cs="Arial"/>
          <w:iCs/>
          <w:sz w:val="20"/>
          <w:lang w:eastAsia="en-AU"/>
        </w:rPr>
        <w:t>from item 9.2</w:t>
      </w:r>
      <w:r w:rsidRPr="00964ECB">
        <w:rPr>
          <w:rFonts w:cs="Arial"/>
          <w:iCs/>
          <w:sz w:val="20"/>
          <w:lang w:eastAsia="en-AU"/>
        </w:rPr>
        <w:t xml:space="preserve"> of the table to section S15—5, </w:t>
      </w:r>
    </w:p>
    <w:p w14:paraId="19E0FBF1" w14:textId="77777777" w:rsidR="00E02A3C" w:rsidRPr="00964ECB" w:rsidRDefault="00E02A3C" w:rsidP="00E02A3C">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02A3C" w:rsidRPr="00D214AE" w14:paraId="6485A518" w14:textId="77777777" w:rsidTr="00971A8D">
        <w:trPr>
          <w:cantSplit/>
        </w:trPr>
        <w:tc>
          <w:tcPr>
            <w:tcW w:w="1668" w:type="dxa"/>
          </w:tcPr>
          <w:p w14:paraId="672E1F6B" w14:textId="77777777" w:rsidR="00E02A3C" w:rsidRPr="003D6026" w:rsidRDefault="00E02A3C" w:rsidP="00971A8D">
            <w:pPr>
              <w:pStyle w:val="FSCtblAdd1"/>
            </w:pPr>
          </w:p>
        </w:tc>
        <w:tc>
          <w:tcPr>
            <w:tcW w:w="4252" w:type="dxa"/>
          </w:tcPr>
          <w:p w14:paraId="6F784806" w14:textId="77777777" w:rsidR="00E02A3C" w:rsidRPr="003D6026" w:rsidRDefault="00E02A3C" w:rsidP="00971A8D">
            <w:pPr>
              <w:pStyle w:val="FSCtblAdd1"/>
            </w:pPr>
            <w:r>
              <w:t>C</w:t>
            </w:r>
            <w:r w:rsidRPr="003D6026">
              <w:t>olourings permitted to a maximum level</w:t>
            </w:r>
          </w:p>
        </w:tc>
        <w:tc>
          <w:tcPr>
            <w:tcW w:w="992" w:type="dxa"/>
          </w:tcPr>
          <w:p w14:paraId="74700D8E" w14:textId="77777777" w:rsidR="00E02A3C" w:rsidRPr="003D6026" w:rsidRDefault="00E02A3C" w:rsidP="00971A8D">
            <w:pPr>
              <w:pStyle w:val="FSCtblAdd2"/>
            </w:pPr>
          </w:p>
        </w:tc>
        <w:tc>
          <w:tcPr>
            <w:tcW w:w="2160" w:type="dxa"/>
          </w:tcPr>
          <w:p w14:paraId="09C4F8B3" w14:textId="77777777" w:rsidR="00E02A3C" w:rsidRPr="00D214AE" w:rsidRDefault="00E02A3C" w:rsidP="00971A8D">
            <w:pPr>
              <w:pStyle w:val="FSCtblAdd1"/>
            </w:pPr>
          </w:p>
        </w:tc>
      </w:tr>
    </w:tbl>
    <w:p w14:paraId="761B8127" w14:textId="77777777" w:rsidR="00E02A3C" w:rsidRPr="00964ECB" w:rsidRDefault="00E02A3C" w:rsidP="00E02A3C">
      <w:pPr>
        <w:tabs>
          <w:tab w:val="left" w:pos="851"/>
        </w:tabs>
        <w:spacing w:before="60" w:after="60"/>
        <w:rPr>
          <w:rFonts w:cs="Arial"/>
          <w:iCs/>
          <w:sz w:val="20"/>
          <w:lang w:eastAsia="en-AU"/>
        </w:rPr>
      </w:pPr>
    </w:p>
    <w:p w14:paraId="1836A38A" w14:textId="77777777" w:rsidR="00E02A3C" w:rsidRPr="00964ECB" w:rsidRDefault="00E02A3C" w:rsidP="00E02A3C">
      <w:pPr>
        <w:tabs>
          <w:tab w:val="left" w:pos="851"/>
        </w:tabs>
        <w:spacing w:before="60" w:after="60"/>
        <w:rPr>
          <w:rFonts w:cs="Arial"/>
          <w:iCs/>
          <w:sz w:val="20"/>
          <w:lang w:eastAsia="en-AU"/>
        </w:rPr>
      </w:pPr>
      <w:r w:rsidRPr="00964ECB">
        <w:rPr>
          <w:rFonts w:cs="Arial"/>
          <w:iCs/>
          <w:sz w:val="20"/>
          <w:lang w:eastAsia="en-AU"/>
        </w:rPr>
        <w:t>substituting</w:t>
      </w:r>
    </w:p>
    <w:p w14:paraId="032CAE0B" w14:textId="77777777" w:rsidR="00E02A3C" w:rsidRPr="00F139CE" w:rsidRDefault="00E02A3C" w:rsidP="00E02A3C">
      <w:pPr>
        <w:tabs>
          <w:tab w:val="left" w:pos="851"/>
        </w:tabs>
        <w:spacing w:before="60" w:after="60"/>
        <w:rPr>
          <w:rFonts w:cs="Arial"/>
          <w:iCs/>
          <w:sz w:val="18"/>
          <w:szCs w:val="18"/>
          <w:lang w:eastAsia="en-AU"/>
        </w:rPr>
      </w:pPr>
    </w:p>
    <w:tbl>
      <w:tblPr>
        <w:tblStyle w:val="TableGrid1"/>
        <w:tblW w:w="9072" w:type="dxa"/>
        <w:tblInd w:w="-5" w:type="dxa"/>
        <w:tblLook w:val="04A0" w:firstRow="1" w:lastRow="0" w:firstColumn="1" w:lastColumn="0" w:noHBand="0" w:noVBand="1"/>
      </w:tblPr>
      <w:tblGrid>
        <w:gridCol w:w="1668"/>
        <w:gridCol w:w="4252"/>
        <w:gridCol w:w="992"/>
        <w:gridCol w:w="2160"/>
      </w:tblGrid>
      <w:tr w:rsidR="00E02A3C" w:rsidRPr="00F139CE" w14:paraId="046F891B" w14:textId="77777777" w:rsidTr="00971A8D">
        <w:tc>
          <w:tcPr>
            <w:tcW w:w="1668" w:type="dxa"/>
            <w:tcBorders>
              <w:top w:val="nil"/>
              <w:left w:val="nil"/>
              <w:bottom w:val="nil"/>
              <w:right w:val="nil"/>
            </w:tcBorders>
          </w:tcPr>
          <w:p w14:paraId="641D855B" w14:textId="77777777" w:rsidR="00E02A3C" w:rsidRPr="00964ECB" w:rsidRDefault="00E02A3C" w:rsidP="00971A8D">
            <w:pPr>
              <w:keepLines/>
              <w:spacing w:before="20" w:after="20"/>
              <w:rPr>
                <w:rFonts w:cs="Arial"/>
                <w:sz w:val="18"/>
              </w:rPr>
            </w:pPr>
          </w:p>
        </w:tc>
        <w:tc>
          <w:tcPr>
            <w:tcW w:w="4252" w:type="dxa"/>
            <w:tcBorders>
              <w:top w:val="nil"/>
              <w:left w:val="nil"/>
              <w:bottom w:val="nil"/>
              <w:right w:val="nil"/>
            </w:tcBorders>
          </w:tcPr>
          <w:p w14:paraId="5B91D817" w14:textId="77777777" w:rsidR="00E02A3C" w:rsidRPr="00964ECB" w:rsidRDefault="00E02A3C" w:rsidP="00971A8D">
            <w:pPr>
              <w:keepLines/>
              <w:spacing w:before="20" w:after="20"/>
              <w:rPr>
                <w:rFonts w:cs="Arial"/>
                <w:sz w:val="18"/>
              </w:rPr>
            </w:pPr>
            <w:r w:rsidRPr="00F139CE">
              <w:rPr>
                <w:sz w:val="18"/>
                <w:szCs w:val="18"/>
              </w:rPr>
              <w:t>Colourings permitted to a maximum level</w:t>
            </w:r>
          </w:p>
        </w:tc>
        <w:tc>
          <w:tcPr>
            <w:tcW w:w="992" w:type="dxa"/>
            <w:tcBorders>
              <w:top w:val="nil"/>
              <w:left w:val="nil"/>
              <w:bottom w:val="nil"/>
              <w:right w:val="nil"/>
            </w:tcBorders>
          </w:tcPr>
          <w:p w14:paraId="051BC7A5" w14:textId="77777777" w:rsidR="00E02A3C" w:rsidRPr="00964ECB" w:rsidRDefault="00E02A3C" w:rsidP="00971A8D">
            <w:pPr>
              <w:keepLines/>
              <w:spacing w:before="20" w:after="20"/>
              <w:jc w:val="right"/>
              <w:rPr>
                <w:rFonts w:cs="Arial"/>
                <w:sz w:val="18"/>
              </w:rPr>
            </w:pPr>
          </w:p>
        </w:tc>
        <w:tc>
          <w:tcPr>
            <w:tcW w:w="2160" w:type="dxa"/>
            <w:tcBorders>
              <w:top w:val="nil"/>
              <w:left w:val="nil"/>
              <w:bottom w:val="nil"/>
              <w:right w:val="nil"/>
            </w:tcBorders>
          </w:tcPr>
          <w:p w14:paraId="15C6BDE4" w14:textId="77777777" w:rsidR="00E02A3C" w:rsidRPr="00964ECB" w:rsidRDefault="00E02A3C" w:rsidP="00971A8D">
            <w:pPr>
              <w:keepLines/>
              <w:spacing w:before="20" w:after="20"/>
              <w:rPr>
                <w:rFonts w:cs="Arial"/>
                <w:sz w:val="18"/>
              </w:rPr>
            </w:pPr>
          </w:p>
        </w:tc>
      </w:tr>
      <w:tr w:rsidR="00E02A3C" w:rsidRPr="00964ECB" w14:paraId="6E93C5F8" w14:textId="77777777" w:rsidTr="00971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68" w:type="dxa"/>
          </w:tcPr>
          <w:p w14:paraId="45EB89E7" w14:textId="77777777" w:rsidR="00E02A3C" w:rsidRPr="00964ECB" w:rsidRDefault="00E02A3C" w:rsidP="00971A8D">
            <w:pPr>
              <w:keepLines/>
              <w:spacing w:before="20" w:after="20"/>
              <w:rPr>
                <w:rFonts w:cs="Arial"/>
                <w:sz w:val="18"/>
              </w:rPr>
            </w:pPr>
            <w:r w:rsidRPr="00964ECB">
              <w:rPr>
                <w:rFonts w:cs="Arial"/>
                <w:sz w:val="18"/>
              </w:rPr>
              <w:t>432</w:t>
            </w:r>
          </w:p>
        </w:tc>
        <w:tc>
          <w:tcPr>
            <w:tcW w:w="4252" w:type="dxa"/>
          </w:tcPr>
          <w:p w14:paraId="78164C7D" w14:textId="77777777" w:rsidR="00E02A3C" w:rsidRPr="00964ECB" w:rsidRDefault="00E02A3C" w:rsidP="00971A8D">
            <w:pPr>
              <w:keepLines/>
              <w:spacing w:before="20" w:after="20"/>
              <w:rPr>
                <w:rFonts w:cs="Arial"/>
                <w:sz w:val="18"/>
              </w:rPr>
            </w:pPr>
            <w:r w:rsidRPr="00964ECB">
              <w:rPr>
                <w:rFonts w:cs="Arial"/>
                <w:sz w:val="18"/>
              </w:rPr>
              <w:t xml:space="preserve">Polyoxyethylene </w:t>
            </w:r>
            <w:r>
              <w:rPr>
                <w:rFonts w:cs="Arial"/>
                <w:sz w:val="18"/>
              </w:rPr>
              <w:t xml:space="preserve">(20) </w:t>
            </w:r>
            <w:r w:rsidRPr="00964ECB">
              <w:rPr>
                <w:rFonts w:cs="Arial"/>
                <w:sz w:val="18"/>
              </w:rPr>
              <w:t>sorbitan monolaurate</w:t>
            </w:r>
          </w:p>
        </w:tc>
        <w:tc>
          <w:tcPr>
            <w:tcW w:w="992" w:type="dxa"/>
          </w:tcPr>
          <w:p w14:paraId="0A8154FE" w14:textId="77777777" w:rsidR="00E02A3C" w:rsidRPr="00964ECB" w:rsidRDefault="00E02A3C" w:rsidP="00971A8D">
            <w:pPr>
              <w:keepLines/>
              <w:spacing w:before="20" w:after="20"/>
              <w:jc w:val="right"/>
              <w:rPr>
                <w:rFonts w:cs="Arial"/>
                <w:sz w:val="18"/>
              </w:rPr>
            </w:pPr>
            <w:r w:rsidRPr="00964ECB">
              <w:rPr>
                <w:rFonts w:cs="Arial"/>
                <w:sz w:val="18"/>
              </w:rPr>
              <w:t>500</w:t>
            </w:r>
          </w:p>
        </w:tc>
        <w:tc>
          <w:tcPr>
            <w:tcW w:w="2160" w:type="dxa"/>
          </w:tcPr>
          <w:p w14:paraId="1EA6583C" w14:textId="77777777" w:rsidR="00E02A3C" w:rsidRPr="00964ECB" w:rsidRDefault="00E02A3C" w:rsidP="00971A8D">
            <w:pPr>
              <w:keepLines/>
              <w:spacing w:before="20" w:after="20"/>
              <w:rPr>
                <w:rFonts w:cs="Arial"/>
                <w:sz w:val="18"/>
              </w:rPr>
            </w:pPr>
          </w:p>
        </w:tc>
      </w:tr>
    </w:tbl>
    <w:p w14:paraId="361EA292" w14:textId="77777777" w:rsidR="00E02A3C" w:rsidRPr="00964ECB" w:rsidRDefault="00E02A3C" w:rsidP="00E02A3C">
      <w:pPr>
        <w:tabs>
          <w:tab w:val="left" w:pos="851"/>
        </w:tabs>
        <w:rPr>
          <w:szCs w:val="20"/>
        </w:rPr>
      </w:pPr>
    </w:p>
    <w:p w14:paraId="640C1929" w14:textId="77777777" w:rsidR="00413B42" w:rsidRPr="00964ECB" w:rsidRDefault="00413B42" w:rsidP="00413B42">
      <w:pPr>
        <w:tabs>
          <w:tab w:val="left" w:pos="851"/>
        </w:tabs>
        <w:rPr>
          <w:szCs w:val="20"/>
        </w:rPr>
      </w:pPr>
    </w:p>
    <w:p w14:paraId="3F2E2A70" w14:textId="77777777" w:rsidR="00413B42" w:rsidRPr="00D42EB3" w:rsidRDefault="00413B42" w:rsidP="00413B42">
      <w:pPr>
        <w:tabs>
          <w:tab w:val="left" w:pos="851"/>
        </w:tabs>
        <w:spacing w:before="60" w:after="60"/>
        <w:rPr>
          <w:szCs w:val="20"/>
        </w:rPr>
      </w:pPr>
    </w:p>
    <w:p w14:paraId="67BE83B6" w14:textId="77777777" w:rsidR="00AB0275" w:rsidRPr="00795D86" w:rsidRDefault="00AB0275" w:rsidP="00AB0275">
      <w:pPr>
        <w:rPr>
          <w:lang w:bidi="ar-SA"/>
        </w:rPr>
      </w:pPr>
    </w:p>
    <w:p w14:paraId="12CFC891" w14:textId="77777777" w:rsidR="00AF06FC" w:rsidRDefault="00AB0275" w:rsidP="00AB0275">
      <w:pPr>
        <w:rPr>
          <w:lang w:val="en-AU" w:eastAsia="en-GB" w:bidi="ar-SA"/>
        </w:rPr>
      </w:pPr>
      <w:r w:rsidRPr="00932F14">
        <w:br w:type="page"/>
      </w:r>
    </w:p>
    <w:p w14:paraId="484E2849" w14:textId="77777777" w:rsidR="00AB0275" w:rsidRDefault="002C4A91" w:rsidP="00AB0275">
      <w:pPr>
        <w:pStyle w:val="Heading2"/>
        <w:ind w:left="0" w:firstLine="0"/>
      </w:pPr>
      <w:bookmarkStart w:id="98" w:name="_Toc516642393"/>
      <w:r w:rsidRPr="00932F14">
        <w:lastRenderedPageBreak/>
        <w:t xml:space="preserve">Attachment </w:t>
      </w:r>
      <w:r>
        <w:t xml:space="preserve">B – </w:t>
      </w:r>
      <w:r w:rsidR="00AB0275">
        <w:t>Draft Explanatory Statement</w:t>
      </w:r>
      <w:bookmarkEnd w:id="98"/>
    </w:p>
    <w:p w14:paraId="796C488A"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A27D609" w14:textId="77777777" w:rsidR="00AB0275" w:rsidRDefault="00AB0275" w:rsidP="00AB0275">
      <w:pPr>
        <w:rPr>
          <w:lang w:val="en-AU" w:eastAsia="en-GB" w:bidi="ar-SA"/>
        </w:rPr>
      </w:pPr>
    </w:p>
    <w:p w14:paraId="754AF38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2E0F5B">
        <w:rPr>
          <w:rFonts w:eastAsia="Calibri" w:cs="Arial"/>
          <w:bCs/>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2E0F5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576C8CB4" w14:textId="77777777" w:rsidR="00AB0275" w:rsidRPr="00D13E34" w:rsidRDefault="00AB0275" w:rsidP="00AB0275">
      <w:pPr>
        <w:widowControl/>
        <w:autoSpaceDE w:val="0"/>
        <w:autoSpaceDN w:val="0"/>
        <w:adjustRightInd w:val="0"/>
        <w:rPr>
          <w:rFonts w:eastAsia="Calibri" w:cs="Arial"/>
          <w:bCs/>
          <w:szCs w:val="22"/>
          <w:lang w:val="en-AU" w:bidi="ar-SA"/>
        </w:rPr>
      </w:pPr>
    </w:p>
    <w:p w14:paraId="7A5EC45B" w14:textId="77777777" w:rsidR="00AB0275" w:rsidRPr="00626B17" w:rsidRDefault="00AB0275" w:rsidP="00AB0275">
      <w:pPr>
        <w:widowControl/>
        <w:autoSpaceDE w:val="0"/>
        <w:autoSpaceDN w:val="0"/>
        <w:adjustRightInd w:val="0"/>
        <w:rPr>
          <w:rFonts w:eastAsia="Calibri" w:cs="Arial"/>
          <w:bCs/>
          <w:szCs w:val="22"/>
          <w:lang w:val="en-AU" w:bidi="ar-SA"/>
        </w:rPr>
      </w:pPr>
      <w:r w:rsidRPr="00626B1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09FD7A3" w14:textId="77777777" w:rsidR="00AB0275" w:rsidRPr="00626B17" w:rsidRDefault="00AB0275" w:rsidP="00AB0275">
      <w:pPr>
        <w:widowControl/>
        <w:autoSpaceDE w:val="0"/>
        <w:autoSpaceDN w:val="0"/>
        <w:adjustRightInd w:val="0"/>
        <w:rPr>
          <w:rFonts w:eastAsia="Calibri" w:cs="Arial"/>
          <w:bCs/>
          <w:szCs w:val="22"/>
          <w:lang w:val="en-AU" w:bidi="ar-SA"/>
        </w:rPr>
      </w:pPr>
    </w:p>
    <w:p w14:paraId="2F20565E" w14:textId="56D3814D" w:rsidR="00AB0275" w:rsidRPr="00626B17" w:rsidRDefault="00B81E55" w:rsidP="00AB0275">
      <w:pPr>
        <w:widowControl/>
        <w:autoSpaceDE w:val="0"/>
        <w:autoSpaceDN w:val="0"/>
        <w:adjustRightInd w:val="0"/>
        <w:rPr>
          <w:rFonts w:eastAsia="Calibri" w:cs="Arial"/>
          <w:bCs/>
          <w:szCs w:val="22"/>
          <w:lang w:val="en-AU" w:bidi="ar-SA"/>
        </w:rPr>
      </w:pPr>
      <w:r>
        <w:rPr>
          <w:rFonts w:eastAsia="Calibri" w:cs="Arial"/>
          <w:bCs/>
          <w:szCs w:val="22"/>
          <w:lang w:val="en-AU" w:bidi="ar-SA"/>
        </w:rPr>
        <w:t>FSANZ accepted a</w:t>
      </w:r>
      <w:r w:rsidR="00AB0275" w:rsidRPr="00626B17">
        <w:rPr>
          <w:rFonts w:eastAsia="Calibri" w:cs="Arial"/>
          <w:bCs/>
          <w:szCs w:val="22"/>
          <w:lang w:val="en-AU" w:bidi="ar-SA"/>
        </w:rPr>
        <w:t>pplication A</w:t>
      </w:r>
      <w:r w:rsidR="00626B17" w:rsidRPr="00626B17">
        <w:rPr>
          <w:rFonts w:eastAsia="Calibri" w:cs="Arial"/>
          <w:bCs/>
          <w:szCs w:val="22"/>
          <w:lang w:val="en-AU" w:bidi="ar-SA"/>
        </w:rPr>
        <w:t>1137</w:t>
      </w:r>
      <w:r w:rsidR="00AB0275" w:rsidRPr="00626B17">
        <w:rPr>
          <w:rFonts w:eastAsia="Calibri" w:cs="Arial"/>
          <w:bCs/>
          <w:szCs w:val="22"/>
          <w:lang w:val="en-AU" w:bidi="ar-SA"/>
        </w:rPr>
        <w:t xml:space="preserve"> which seeks to </w:t>
      </w:r>
      <w:r w:rsidR="00626B17" w:rsidRPr="00626B17">
        <w:rPr>
          <w:rFonts w:eastAsia="Calibri" w:cs="Arial"/>
          <w:bCs/>
          <w:szCs w:val="22"/>
          <w:lang w:val="en-AU" w:bidi="ar-SA"/>
        </w:rPr>
        <w:t xml:space="preserve">the use of polysorbate 20 as an emulsifier for processed </w:t>
      </w:r>
      <w:r w:rsidR="00EE6A92">
        <w:rPr>
          <w:rFonts w:eastAsia="Calibri" w:cs="Arial"/>
          <w:bCs/>
          <w:szCs w:val="22"/>
          <w:lang w:val="en-AU" w:bidi="ar-SA"/>
        </w:rPr>
        <w:t xml:space="preserve">meat and </w:t>
      </w:r>
      <w:r w:rsidR="00626B17" w:rsidRPr="00626B17">
        <w:rPr>
          <w:rFonts w:eastAsia="Calibri" w:cs="Arial"/>
          <w:bCs/>
          <w:szCs w:val="22"/>
          <w:lang w:val="en-AU" w:bidi="ar-SA"/>
        </w:rPr>
        <w:t>meat products</w:t>
      </w:r>
      <w:r w:rsidR="00EE6A92">
        <w:rPr>
          <w:rFonts w:eastAsia="Calibri" w:cs="Arial"/>
          <w:bCs/>
          <w:szCs w:val="22"/>
          <w:lang w:val="en-AU" w:bidi="ar-SA"/>
        </w:rPr>
        <w:t>,</w:t>
      </w:r>
      <w:r w:rsidR="00626B17" w:rsidRPr="00626B17">
        <w:rPr>
          <w:rFonts w:eastAsia="Calibri" w:cs="Arial"/>
          <w:bCs/>
          <w:szCs w:val="22"/>
          <w:lang w:val="en-AU" w:bidi="ar-SA"/>
        </w:rPr>
        <w:t xml:space="preserve"> and processed fish and fish products</w:t>
      </w:r>
      <w:r>
        <w:rPr>
          <w:rFonts w:eastAsia="Calibri" w:cs="Arial"/>
          <w:bCs/>
          <w:szCs w:val="22"/>
          <w:lang w:val="en-AU" w:bidi="ar-SA"/>
        </w:rPr>
        <w:t>. The Authority considered the a</w:t>
      </w:r>
      <w:r w:rsidR="00AB0275" w:rsidRPr="00626B17">
        <w:rPr>
          <w:rFonts w:eastAsia="Calibri" w:cs="Arial"/>
          <w:bCs/>
          <w:szCs w:val="22"/>
          <w:lang w:val="en-AU" w:bidi="ar-SA"/>
        </w:rPr>
        <w:t xml:space="preserve">pplication in accordance with Division 1 of Part 3 and has </w:t>
      </w:r>
      <w:r w:rsidR="00CA3C65" w:rsidRPr="00626B17">
        <w:rPr>
          <w:rFonts w:eastAsia="Calibri" w:cs="Arial"/>
          <w:bCs/>
          <w:szCs w:val="22"/>
          <w:lang w:val="en-AU" w:bidi="ar-SA"/>
        </w:rPr>
        <w:t>prepared</w:t>
      </w:r>
      <w:r w:rsidR="00AB0275" w:rsidRPr="00626B17">
        <w:rPr>
          <w:rFonts w:eastAsia="Calibri" w:cs="Arial"/>
          <w:bCs/>
          <w:szCs w:val="22"/>
          <w:lang w:val="en-AU" w:bidi="ar-SA"/>
        </w:rPr>
        <w:t xml:space="preserve"> a draft </w:t>
      </w:r>
      <w:r w:rsidR="00626B17" w:rsidRPr="00626B17">
        <w:rPr>
          <w:rFonts w:eastAsia="Calibri" w:cs="Arial"/>
          <w:bCs/>
          <w:szCs w:val="22"/>
          <w:lang w:val="en-AU" w:bidi="ar-SA"/>
        </w:rPr>
        <w:t>variation</w:t>
      </w:r>
      <w:r w:rsidR="00AB0275" w:rsidRPr="00626B17">
        <w:rPr>
          <w:rFonts w:eastAsia="Calibri" w:cs="Arial"/>
          <w:bCs/>
          <w:szCs w:val="22"/>
          <w:lang w:val="en-AU" w:bidi="ar-SA"/>
        </w:rPr>
        <w:t xml:space="preserve">. </w:t>
      </w:r>
    </w:p>
    <w:p w14:paraId="2E48E385" w14:textId="77777777" w:rsidR="00AB0275" w:rsidRPr="00D13E34" w:rsidRDefault="00AB0275" w:rsidP="00AB0275">
      <w:pPr>
        <w:widowControl/>
        <w:autoSpaceDE w:val="0"/>
        <w:autoSpaceDN w:val="0"/>
        <w:adjustRightInd w:val="0"/>
        <w:rPr>
          <w:rFonts w:eastAsia="Calibri" w:cs="Arial"/>
          <w:bCs/>
          <w:szCs w:val="22"/>
          <w:lang w:val="en-AU" w:bidi="ar-SA"/>
        </w:rPr>
      </w:pPr>
    </w:p>
    <w:p w14:paraId="3D4D2A8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546636C4" w14:textId="77777777" w:rsidR="00AB0275" w:rsidRDefault="00AB0275" w:rsidP="00AB0275">
      <w:pPr>
        <w:rPr>
          <w:lang w:val="en-AU" w:eastAsia="en-GB" w:bidi="ar-SA"/>
        </w:rPr>
      </w:pPr>
    </w:p>
    <w:p w14:paraId="5144481F" w14:textId="27D6D565" w:rsidR="00494CD4" w:rsidRDefault="00494CD4" w:rsidP="00494CD4">
      <w:pPr>
        <w:rPr>
          <w:lang w:val="en-AU" w:eastAsia="en-GB" w:bidi="ar-SA"/>
        </w:rPr>
      </w:pPr>
      <w:r>
        <w:rPr>
          <w:lang w:val="en-AU" w:eastAsia="en-GB" w:bidi="ar-SA"/>
        </w:rPr>
        <w:t>The purpose of the</w:t>
      </w:r>
      <w:r w:rsidRPr="00AA4C99">
        <w:rPr>
          <w:lang w:val="en-AU" w:eastAsia="en-GB" w:bidi="ar-SA"/>
        </w:rPr>
        <w:t xml:space="preserve"> draft variation</w:t>
      </w:r>
      <w:r>
        <w:rPr>
          <w:lang w:val="en-AU" w:eastAsia="en-GB" w:bidi="ar-SA"/>
        </w:rPr>
        <w:t xml:space="preserve"> is to amend</w:t>
      </w:r>
      <w:r w:rsidRPr="00AA4C99">
        <w:rPr>
          <w:lang w:val="en-AU" w:eastAsia="en-GB" w:bidi="ar-SA"/>
        </w:rPr>
        <w:t xml:space="preserve"> the table to section S15—5 to </w:t>
      </w:r>
      <w:r>
        <w:rPr>
          <w:lang w:val="en-AU" w:eastAsia="en-GB" w:bidi="ar-SA"/>
        </w:rPr>
        <w:t xml:space="preserve">permit the use of polysorbate 20 as a food additive on processed </w:t>
      </w:r>
      <w:r w:rsidR="00EE6A92">
        <w:rPr>
          <w:lang w:val="en-AU" w:eastAsia="en-GB" w:bidi="ar-SA"/>
        </w:rPr>
        <w:t xml:space="preserve">meat and </w:t>
      </w:r>
      <w:r>
        <w:rPr>
          <w:lang w:val="en-AU" w:eastAsia="en-GB" w:bidi="ar-SA"/>
        </w:rPr>
        <w:t>meat products and on processed fish and fish products.</w:t>
      </w:r>
      <w:r w:rsidR="00EF13F2">
        <w:rPr>
          <w:lang w:val="en-AU" w:eastAsia="en-GB" w:bidi="ar-SA"/>
        </w:rPr>
        <w:t xml:space="preserve"> The draft variation also amends the alphabetical and numerical </w:t>
      </w:r>
      <w:r w:rsidR="00B22F09">
        <w:rPr>
          <w:lang w:val="en-AU" w:eastAsia="en-GB" w:bidi="ar-SA"/>
        </w:rPr>
        <w:t>listings in the table</w:t>
      </w:r>
      <w:r w:rsidR="00EF13F2">
        <w:rPr>
          <w:lang w:val="en-AU" w:eastAsia="en-GB" w:bidi="ar-SA"/>
        </w:rPr>
        <w:t xml:space="preserve"> to </w:t>
      </w:r>
      <w:r w:rsidR="00EF13F2">
        <w:t>section S8—2 to provide</w:t>
      </w:r>
      <w:r w:rsidR="00EF13F2">
        <w:rPr>
          <w:lang w:val="en-AU" w:eastAsia="en-GB" w:bidi="ar-SA"/>
        </w:rPr>
        <w:t xml:space="preserve"> </w:t>
      </w:r>
      <w:r w:rsidR="00EF13F2">
        <w:t xml:space="preserve">a name and code number for </w:t>
      </w:r>
      <w:r w:rsidR="00EF13F2">
        <w:rPr>
          <w:lang w:val="en-AU" w:eastAsia="en-GB" w:bidi="ar-SA"/>
        </w:rPr>
        <w:t xml:space="preserve">polysorbate 20 </w:t>
      </w:r>
      <w:r w:rsidR="00EF13F2">
        <w:t>to be used for labelling purposes.</w:t>
      </w:r>
    </w:p>
    <w:p w14:paraId="45048F9F" w14:textId="77777777" w:rsidR="00AB0275" w:rsidRDefault="00AB0275" w:rsidP="00AB0275">
      <w:pPr>
        <w:rPr>
          <w:lang w:val="en-AU" w:eastAsia="en-GB" w:bidi="ar-SA"/>
        </w:rPr>
      </w:pPr>
    </w:p>
    <w:p w14:paraId="5B069BF4"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799CDA3" w14:textId="77777777" w:rsidR="00AB0275" w:rsidRDefault="00AB0275" w:rsidP="00AB0275">
      <w:pPr>
        <w:rPr>
          <w:lang w:val="en-AU" w:eastAsia="en-GB" w:bidi="ar-SA"/>
        </w:rPr>
      </w:pPr>
    </w:p>
    <w:p w14:paraId="5272B29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539420A" w14:textId="77777777" w:rsidR="00AB0275" w:rsidRDefault="00AB0275" w:rsidP="00AB0275">
      <w:pPr>
        <w:rPr>
          <w:lang w:val="en-AU" w:eastAsia="en-GB" w:bidi="ar-SA"/>
        </w:rPr>
      </w:pPr>
    </w:p>
    <w:p w14:paraId="50A7398C"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3A578760" w14:textId="77777777" w:rsidR="00AB0275" w:rsidRDefault="00AB0275" w:rsidP="00AB0275">
      <w:pPr>
        <w:rPr>
          <w:lang w:val="en-AU" w:eastAsia="en-GB" w:bidi="ar-SA"/>
        </w:rPr>
      </w:pPr>
    </w:p>
    <w:p w14:paraId="4AF14DB5" w14:textId="31C6D5BA" w:rsidR="00AB0275" w:rsidRPr="008F555E" w:rsidRDefault="00AB0275" w:rsidP="00AB0275">
      <w:pPr>
        <w:rPr>
          <w:lang w:val="en-AU"/>
        </w:rPr>
      </w:pPr>
      <w:r w:rsidRPr="008F555E">
        <w:rPr>
          <w:szCs w:val="22"/>
        </w:rPr>
        <w:t xml:space="preserve">In accordance with the procedure in Division </w:t>
      </w:r>
      <w:r w:rsidR="008F555E" w:rsidRPr="008F555E">
        <w:rPr>
          <w:szCs w:val="22"/>
        </w:rPr>
        <w:t>1</w:t>
      </w:r>
      <w:r w:rsidRPr="008F555E">
        <w:rPr>
          <w:szCs w:val="22"/>
        </w:rPr>
        <w:t xml:space="preserve"> of Part </w:t>
      </w:r>
      <w:r w:rsidR="008F555E" w:rsidRPr="008F555E">
        <w:rPr>
          <w:szCs w:val="22"/>
        </w:rPr>
        <w:t>3</w:t>
      </w:r>
      <w:r w:rsidRPr="008F555E">
        <w:rPr>
          <w:szCs w:val="22"/>
        </w:rPr>
        <w:t xml:space="preserve"> of the FSANZ Act, </w:t>
      </w:r>
      <w:r w:rsidRPr="008F555E">
        <w:rPr>
          <w:rFonts w:eastAsia="Calibri" w:cs="Arial"/>
          <w:bCs/>
          <w:szCs w:val="22"/>
          <w:lang w:val="en-AU" w:bidi="ar-SA"/>
        </w:rPr>
        <w:t>the Authority</w:t>
      </w:r>
      <w:r w:rsidR="00B81E55">
        <w:rPr>
          <w:szCs w:val="22"/>
        </w:rPr>
        <w:t>’s consideration of a</w:t>
      </w:r>
      <w:r w:rsidRPr="008F555E">
        <w:rPr>
          <w:szCs w:val="22"/>
        </w:rPr>
        <w:t>pplication A</w:t>
      </w:r>
      <w:r w:rsidR="008F555E" w:rsidRPr="008F555E">
        <w:rPr>
          <w:szCs w:val="22"/>
        </w:rPr>
        <w:t>1137</w:t>
      </w:r>
      <w:r w:rsidRPr="008F555E">
        <w:rPr>
          <w:szCs w:val="22"/>
        </w:rPr>
        <w:t xml:space="preserve"> will include one round of public consultation following an assessment and the preparation of a draft </w:t>
      </w:r>
      <w:r w:rsidR="008F555E" w:rsidRPr="008F555E">
        <w:rPr>
          <w:szCs w:val="22"/>
        </w:rPr>
        <w:t xml:space="preserve">variation </w:t>
      </w:r>
      <w:r w:rsidRPr="008F555E">
        <w:rPr>
          <w:szCs w:val="22"/>
        </w:rPr>
        <w:t xml:space="preserve">and associated </w:t>
      </w:r>
      <w:r w:rsidR="006211CD" w:rsidRPr="008F555E">
        <w:rPr>
          <w:szCs w:val="22"/>
        </w:rPr>
        <w:t>assessment summary</w:t>
      </w:r>
      <w:r w:rsidRPr="008F555E">
        <w:rPr>
          <w:szCs w:val="22"/>
        </w:rPr>
        <w:t xml:space="preserve">. </w:t>
      </w:r>
      <w:r w:rsidR="008F555E">
        <w:rPr>
          <w:szCs w:val="22"/>
        </w:rPr>
        <w:t xml:space="preserve"> A call for submissions (including draft variations) will occur for a six-week consultation period.</w:t>
      </w:r>
    </w:p>
    <w:p w14:paraId="263EFECF" w14:textId="77777777" w:rsidR="00AB0275" w:rsidRPr="008F555E" w:rsidRDefault="00AB0275" w:rsidP="00AB0275"/>
    <w:p w14:paraId="6FCDC99E" w14:textId="0C8D4A44" w:rsidR="00AB0275" w:rsidRPr="008F555E" w:rsidRDefault="00AB0275" w:rsidP="00AB0275">
      <w:pPr>
        <w:widowControl/>
        <w:autoSpaceDE w:val="0"/>
        <w:autoSpaceDN w:val="0"/>
        <w:adjustRightInd w:val="0"/>
        <w:rPr>
          <w:rFonts w:cs="Arial"/>
          <w:szCs w:val="22"/>
        </w:rPr>
      </w:pPr>
      <w:r w:rsidRPr="008F555E">
        <w:rPr>
          <w:rFonts w:eastAsia="Calibri" w:cs="Arial"/>
          <w:bCs/>
          <w:szCs w:val="22"/>
          <w:lang w:val="en-AU" w:bidi="ar-SA"/>
        </w:rPr>
        <w:t xml:space="preserve">A Regulation Impact Statement was not required because the proposed variations to </w:t>
      </w:r>
      <w:r w:rsidR="008F555E">
        <w:rPr>
          <w:rFonts w:eastAsia="Calibri" w:cs="Arial"/>
          <w:bCs/>
          <w:szCs w:val="22"/>
          <w:lang w:val="en-AU" w:bidi="ar-SA"/>
        </w:rPr>
        <w:t>Schedule 15</w:t>
      </w:r>
      <w:r w:rsidRPr="008F555E">
        <w:rPr>
          <w:rFonts w:eastAsia="Calibri" w:cs="Arial"/>
          <w:bCs/>
          <w:szCs w:val="22"/>
          <w:lang w:val="en-AU" w:bidi="ar-SA"/>
        </w:rPr>
        <w:t xml:space="preserve"> </w:t>
      </w:r>
      <w:r w:rsidRPr="008F555E">
        <w:t xml:space="preserve">are likely to have a minor impact on business and individuals. </w:t>
      </w:r>
    </w:p>
    <w:p w14:paraId="44BCA5F0" w14:textId="77777777" w:rsidR="00AB0275" w:rsidRPr="008F555E" w:rsidRDefault="00AB0275" w:rsidP="00AB0275">
      <w:pPr>
        <w:widowControl/>
        <w:rPr>
          <w:rFonts w:eastAsiaTheme="minorHAnsi" w:cs="Arial"/>
          <w:b/>
          <w:bCs/>
          <w:szCs w:val="22"/>
          <w:lang w:val="en-AU" w:bidi="ar-SA"/>
        </w:rPr>
      </w:pPr>
    </w:p>
    <w:p w14:paraId="1436C57A"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4429245" w14:textId="77777777" w:rsidR="00AB0275" w:rsidRDefault="00AB0275" w:rsidP="00AB0275">
      <w:pPr>
        <w:rPr>
          <w:rFonts w:eastAsiaTheme="minorHAnsi"/>
          <w:lang w:val="en-AU" w:bidi="ar-SA"/>
        </w:rPr>
      </w:pPr>
    </w:p>
    <w:p w14:paraId="58F2165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A4FE710" w14:textId="77777777" w:rsidR="00AB0275" w:rsidRDefault="00AB0275" w:rsidP="00AB0275">
      <w:pPr>
        <w:rPr>
          <w:rFonts w:eastAsiaTheme="minorHAnsi"/>
          <w:lang w:val="en-AU" w:bidi="ar-SA"/>
        </w:rPr>
      </w:pPr>
    </w:p>
    <w:p w14:paraId="46603A63"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4ACBF2E" w14:textId="77777777" w:rsidR="00AB0275" w:rsidRPr="00AD344F" w:rsidRDefault="00AB0275" w:rsidP="00AB0275">
      <w:pPr>
        <w:rPr>
          <w:b/>
        </w:rPr>
      </w:pPr>
    </w:p>
    <w:p w14:paraId="222F3209" w14:textId="753ED009" w:rsidR="00AB0275" w:rsidRPr="008F555E" w:rsidRDefault="002E0F5B" w:rsidP="00AB0275">
      <w:r>
        <w:rPr>
          <w:i/>
        </w:rPr>
        <w:t xml:space="preserve">Item [1.1] </w:t>
      </w:r>
    </w:p>
    <w:p w14:paraId="079F5386" w14:textId="77777777" w:rsidR="00AB0275" w:rsidRPr="00DE5528" w:rsidRDefault="00AB0275" w:rsidP="00AB0275"/>
    <w:p w14:paraId="4ACFBBDD" w14:textId="61CAE3BC" w:rsidR="00EF13F2" w:rsidRDefault="00090BAF" w:rsidP="00AB0275">
      <w:r>
        <w:t xml:space="preserve">Item [1.1] </w:t>
      </w:r>
      <w:r w:rsidR="0015537B">
        <w:t xml:space="preserve">of the draft variation </w:t>
      </w:r>
      <w:r w:rsidR="00EF13F2">
        <w:t xml:space="preserve">amends </w:t>
      </w:r>
      <w:r w:rsidR="00D22A19">
        <w:t>the alphabetical list</w:t>
      </w:r>
      <w:r w:rsidR="00B22F09">
        <w:t>ing</w:t>
      </w:r>
      <w:r w:rsidR="00D22A19">
        <w:t xml:space="preserve"> in </w:t>
      </w:r>
      <w:r w:rsidR="00EF13F2">
        <w:t xml:space="preserve">the table to </w:t>
      </w:r>
      <w:r w:rsidR="00D22A19">
        <w:t>section S8—2</w:t>
      </w:r>
      <w:r w:rsidR="00EF13F2">
        <w:t xml:space="preserve"> by inserting the </w:t>
      </w:r>
      <w:r w:rsidR="00B22F09">
        <w:t>food additive name ‘</w:t>
      </w:r>
      <w:r w:rsidR="00EF13F2" w:rsidRPr="00090BAF">
        <w:t>Polysorbate 20 or Polyoxyethylene (20) sorbitan monolaurate</w:t>
      </w:r>
      <w:r w:rsidR="00B22F09">
        <w:t>’ and code number ‘432’</w:t>
      </w:r>
      <w:r w:rsidR="00EF13F2">
        <w:t xml:space="preserve"> into</w:t>
      </w:r>
      <w:r w:rsidR="00BF0E06">
        <w:t xml:space="preserve"> that</w:t>
      </w:r>
      <w:r w:rsidR="00EF13F2">
        <w:t xml:space="preserve"> list</w:t>
      </w:r>
      <w:r w:rsidR="00B22F09">
        <w:t>ing</w:t>
      </w:r>
      <w:r w:rsidR="00EF13F2">
        <w:t xml:space="preserve"> in alphabetical order. </w:t>
      </w:r>
    </w:p>
    <w:p w14:paraId="16F43BF1" w14:textId="21B63DCE" w:rsidR="00D22A19" w:rsidRDefault="00D22A19" w:rsidP="00AB0275"/>
    <w:p w14:paraId="2956F55E" w14:textId="6CA4A6D2" w:rsidR="00D22A19" w:rsidRPr="008F555E" w:rsidRDefault="00D22A19" w:rsidP="00D22A19">
      <w:r>
        <w:rPr>
          <w:i/>
        </w:rPr>
        <w:t xml:space="preserve">Item [1.2] </w:t>
      </w:r>
    </w:p>
    <w:p w14:paraId="080FE6A7" w14:textId="77777777" w:rsidR="00D22A19" w:rsidRPr="00DE5528" w:rsidRDefault="00D22A19" w:rsidP="00D22A19"/>
    <w:p w14:paraId="65103D6D" w14:textId="013CECC5" w:rsidR="00D22A19" w:rsidRDefault="00D22A19" w:rsidP="00D22A19">
      <w:r>
        <w:lastRenderedPageBreak/>
        <w:t xml:space="preserve">Item [1.2] </w:t>
      </w:r>
      <w:r w:rsidR="00EF13F2">
        <w:t>amends the numerical list</w:t>
      </w:r>
      <w:r w:rsidR="00B22F09">
        <w:t>ing</w:t>
      </w:r>
      <w:r w:rsidR="00EF13F2">
        <w:t xml:space="preserve"> in the table to section S8—2 by inserting the </w:t>
      </w:r>
      <w:r>
        <w:t xml:space="preserve">food additive code number </w:t>
      </w:r>
      <w:r w:rsidR="00B22F09">
        <w:t>‘</w:t>
      </w:r>
      <w:r>
        <w:t>432</w:t>
      </w:r>
      <w:r w:rsidR="00B22F09">
        <w:t>’</w:t>
      </w:r>
      <w:r>
        <w:t xml:space="preserve"> and name </w:t>
      </w:r>
      <w:r w:rsidR="00B22F09">
        <w:t>‘</w:t>
      </w:r>
      <w:r w:rsidRPr="00090BAF">
        <w:t>Polysorbate 20 or Polyoxyethylene (20) sorbitan monolaurate</w:t>
      </w:r>
      <w:r w:rsidR="00B22F09">
        <w:t>’</w:t>
      </w:r>
      <w:r>
        <w:t xml:space="preserve"> </w:t>
      </w:r>
      <w:r w:rsidR="00EF13F2">
        <w:t xml:space="preserve">into </w:t>
      </w:r>
      <w:r>
        <w:t>th</w:t>
      </w:r>
      <w:r w:rsidR="00BF0E06">
        <w:t>at</w:t>
      </w:r>
      <w:r>
        <w:t xml:space="preserve"> list</w:t>
      </w:r>
      <w:r w:rsidR="00B22F09">
        <w:t>ing</w:t>
      </w:r>
      <w:r>
        <w:t xml:space="preserve"> in </w:t>
      </w:r>
      <w:r w:rsidR="00EF13F2">
        <w:t>numerical order</w:t>
      </w:r>
      <w:r>
        <w:t xml:space="preserve">. </w:t>
      </w:r>
    </w:p>
    <w:p w14:paraId="3B11779C" w14:textId="77777777" w:rsidR="00D22A19" w:rsidRDefault="00D22A19" w:rsidP="00D22A19"/>
    <w:p w14:paraId="676DDDED" w14:textId="14C67D9F" w:rsidR="00D22A19" w:rsidRPr="00C14616" w:rsidRDefault="0015537B" w:rsidP="00AB0275">
      <w:pPr>
        <w:rPr>
          <w:i/>
        </w:rPr>
      </w:pPr>
      <w:r w:rsidRPr="00C14616">
        <w:rPr>
          <w:i/>
        </w:rPr>
        <w:t>Item [2.1]</w:t>
      </w:r>
    </w:p>
    <w:p w14:paraId="1DCDEAC5" w14:textId="102490CE" w:rsidR="0015537B" w:rsidRDefault="0015537B" w:rsidP="00AB0275"/>
    <w:p w14:paraId="65D3E84E" w14:textId="46058540" w:rsidR="0015537B" w:rsidRPr="00090BAF" w:rsidRDefault="0015537B" w:rsidP="00AB0275">
      <w:r>
        <w:t xml:space="preserve">Item [2.1] </w:t>
      </w:r>
      <w:r w:rsidR="00EF13F2">
        <w:t xml:space="preserve">amends </w:t>
      </w:r>
      <w:r w:rsidR="00C14616">
        <w:t xml:space="preserve">item 8.2 of </w:t>
      </w:r>
      <w:r w:rsidR="00EF13F2">
        <w:t>the table to section S15—5</w:t>
      </w:r>
      <w:r w:rsidR="00C14616">
        <w:t xml:space="preserve">. Item </w:t>
      </w:r>
      <w:r w:rsidR="00325403">
        <w:t>8.2</w:t>
      </w:r>
      <w:r w:rsidR="00BF0E06">
        <w:t xml:space="preserve"> </w:t>
      </w:r>
      <w:r w:rsidR="00C14616">
        <w:t>relates to p</w:t>
      </w:r>
      <w:r w:rsidR="00325403">
        <w:t>rocessed meat, poultry and game products in whole cuts or pieces</w:t>
      </w:r>
      <w:r w:rsidR="00C14616">
        <w:t>. The amendment</w:t>
      </w:r>
      <w:r w:rsidR="00C14616" w:rsidRPr="00C14616">
        <w:t xml:space="preserve"> </w:t>
      </w:r>
      <w:r w:rsidR="00C14616">
        <w:t xml:space="preserve">inserts into item 8.2 a reference to </w:t>
      </w:r>
      <w:r w:rsidR="009F0C86">
        <w:t>p</w:t>
      </w:r>
      <w:r w:rsidR="00C14616">
        <w:t xml:space="preserve">olyoxyethylene (20) </w:t>
      </w:r>
      <w:r w:rsidR="00C14616" w:rsidRPr="00090BAF">
        <w:t>sorbitan monolaurate</w:t>
      </w:r>
      <w:r w:rsidR="00C14616">
        <w:t xml:space="preserve"> (INS number 432)</w:t>
      </w:r>
      <w:r w:rsidR="00EF13F2">
        <w:t>,</w:t>
      </w:r>
      <w:r w:rsidR="00325403">
        <w:t xml:space="preserve"> with a </w:t>
      </w:r>
      <w:r w:rsidR="00EF13F2">
        <w:t xml:space="preserve">maximum permitted level </w:t>
      </w:r>
      <w:r w:rsidR="00325403">
        <w:t xml:space="preserve">of 500 mg/kg. </w:t>
      </w:r>
      <w:r w:rsidR="00EF13F2">
        <w:t>The effect of the amendment is to permit that substance’s use as a food additive within that category</w:t>
      </w:r>
      <w:r w:rsidR="00BF0E06">
        <w:t xml:space="preserve"> of food products subject to that maximum permitted level.</w:t>
      </w:r>
    </w:p>
    <w:p w14:paraId="5A6161DA" w14:textId="77777777" w:rsidR="00AB0275" w:rsidRDefault="00AB0275" w:rsidP="00AB0275"/>
    <w:p w14:paraId="709F0E0C" w14:textId="4AA1BDD0" w:rsidR="00325403" w:rsidRPr="00C14616" w:rsidRDefault="00325403" w:rsidP="00325403">
      <w:pPr>
        <w:rPr>
          <w:i/>
        </w:rPr>
      </w:pPr>
      <w:r w:rsidRPr="00C14616">
        <w:rPr>
          <w:i/>
        </w:rPr>
        <w:t>Item [2.2]</w:t>
      </w:r>
    </w:p>
    <w:p w14:paraId="20EAD767" w14:textId="77777777" w:rsidR="00325403" w:rsidRDefault="00325403" w:rsidP="00325403"/>
    <w:p w14:paraId="6C564A54" w14:textId="15ACD0A0" w:rsidR="00325403" w:rsidRPr="00090BAF" w:rsidRDefault="00325403" w:rsidP="00325403">
      <w:r>
        <w:t xml:space="preserve">Item [2.2] </w:t>
      </w:r>
      <w:r w:rsidR="00EF13F2">
        <w:t xml:space="preserve">amends </w:t>
      </w:r>
      <w:r w:rsidR="00C14616">
        <w:t xml:space="preserve">item 8.3 of </w:t>
      </w:r>
      <w:r w:rsidR="00EF13F2">
        <w:t>the table to section S15—5</w:t>
      </w:r>
      <w:r w:rsidR="00C14616">
        <w:t>.</w:t>
      </w:r>
      <w:r w:rsidR="00EF13F2">
        <w:t xml:space="preserve"> </w:t>
      </w:r>
      <w:r w:rsidR="00C14616">
        <w:t>I</w:t>
      </w:r>
      <w:r w:rsidR="00BF0E06">
        <w:t>tem</w:t>
      </w:r>
      <w:r>
        <w:t xml:space="preserve"> 8.3</w:t>
      </w:r>
      <w:r w:rsidR="00C14616">
        <w:t xml:space="preserve"> relates to</w:t>
      </w:r>
      <w:r>
        <w:t xml:space="preserve"> </w:t>
      </w:r>
      <w:r w:rsidR="00C14616">
        <w:t>p</w:t>
      </w:r>
      <w:r>
        <w:t>rocessed meat, poultry and game products in whole cuts or pieces</w:t>
      </w:r>
      <w:r w:rsidR="00C14616">
        <w:t xml:space="preserve">. The amendment inserts into item 8.3 a reference to </w:t>
      </w:r>
      <w:r w:rsidR="009F0C86">
        <w:t>p</w:t>
      </w:r>
      <w:r w:rsidR="00C14616">
        <w:t xml:space="preserve">olyoxyethylene (20) </w:t>
      </w:r>
      <w:r w:rsidR="00C14616" w:rsidRPr="00090BAF">
        <w:t>sorbitan monolaurate</w:t>
      </w:r>
      <w:r w:rsidR="00C14616">
        <w:t xml:space="preserve"> (INS number 432)</w:t>
      </w:r>
      <w:r w:rsidR="00BF0E06">
        <w:t xml:space="preserve">, </w:t>
      </w:r>
      <w:r>
        <w:t xml:space="preserve">with a </w:t>
      </w:r>
      <w:r w:rsidR="00BF0E06">
        <w:t xml:space="preserve">maximum permitted level </w:t>
      </w:r>
      <w:r>
        <w:t xml:space="preserve">of 500 mg/kg. </w:t>
      </w:r>
      <w:r w:rsidR="00BF0E06">
        <w:t>The effect of the amendment is to permit that substance’s use as a food additive in that category of food products subject to that maximum permitted level.</w:t>
      </w:r>
    </w:p>
    <w:p w14:paraId="64F3D331" w14:textId="77777777" w:rsidR="007C174F" w:rsidRDefault="007C174F" w:rsidP="007C174F"/>
    <w:p w14:paraId="2B1100C0" w14:textId="4623E750" w:rsidR="00325403" w:rsidRPr="00C14616" w:rsidRDefault="00325403" w:rsidP="00325403">
      <w:pPr>
        <w:rPr>
          <w:i/>
        </w:rPr>
      </w:pPr>
      <w:r w:rsidRPr="00C14616">
        <w:rPr>
          <w:i/>
        </w:rPr>
        <w:t>Item [2.3]</w:t>
      </w:r>
    </w:p>
    <w:p w14:paraId="465687B0" w14:textId="77777777" w:rsidR="00325403" w:rsidRDefault="00325403" w:rsidP="00325403"/>
    <w:p w14:paraId="00A03EC9" w14:textId="5840E7C8" w:rsidR="00325403" w:rsidRPr="00090BAF" w:rsidRDefault="00325403" w:rsidP="00325403">
      <w:r>
        <w:t xml:space="preserve">Item [2.3] </w:t>
      </w:r>
      <w:r w:rsidR="00BF0E06">
        <w:t xml:space="preserve">amends </w:t>
      </w:r>
      <w:r w:rsidR="00C14616">
        <w:t xml:space="preserve">item 9.2 of </w:t>
      </w:r>
      <w:r w:rsidR="00BF0E06">
        <w:t>the table to section S15—5</w:t>
      </w:r>
      <w:r w:rsidR="00C14616">
        <w:t xml:space="preserve">. Item 9.2 relates to processed fish and fish products. The amendment inserts into item 9.2 </w:t>
      </w:r>
      <w:r w:rsidR="00BF0E06">
        <w:t xml:space="preserve">a reference to </w:t>
      </w:r>
      <w:r w:rsidR="009F0C86">
        <w:t>p</w:t>
      </w:r>
      <w:r w:rsidR="00BF0E06">
        <w:t xml:space="preserve">olyoxyethylene (20) </w:t>
      </w:r>
      <w:r w:rsidR="00BF0E06" w:rsidRPr="00090BAF">
        <w:t>sorbitan monolaurate</w:t>
      </w:r>
      <w:r w:rsidR="00BF0E06">
        <w:t xml:space="preserve"> (INS number 432), with a maximum permitted level of 500 mg/kg. The effect of the amendment is to permit that substance’s use as a food additive in that category of food products subject to that maximum permitted level</w:t>
      </w:r>
      <w:r>
        <w:t xml:space="preserve">. </w:t>
      </w:r>
    </w:p>
    <w:p w14:paraId="78F9E753"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409A" w14:textId="77777777" w:rsidR="00DE5ED7" w:rsidRDefault="00DE5ED7">
      <w:r>
        <w:separator/>
      </w:r>
    </w:p>
  </w:endnote>
  <w:endnote w:type="continuationSeparator" w:id="0">
    <w:p w14:paraId="63D7D79A" w14:textId="77777777" w:rsidR="00DE5ED7" w:rsidRDefault="00DE5ED7">
      <w:r>
        <w:continuationSeparator/>
      </w:r>
    </w:p>
  </w:endnote>
  <w:endnote w:type="continuationNotice" w:id="1">
    <w:p w14:paraId="744DF08A" w14:textId="77777777" w:rsidR="00DE5ED7" w:rsidRDefault="00DE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43CE" w14:textId="77777777" w:rsidR="00B02D9D" w:rsidRDefault="00B02D9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F0303" w14:textId="77777777" w:rsidR="00B02D9D" w:rsidRDefault="00B02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AD30" w14:textId="307E78C2" w:rsidR="00B02D9D" w:rsidRDefault="00B02D9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779C">
      <w:rPr>
        <w:rStyle w:val="PageNumber"/>
        <w:noProof/>
      </w:rPr>
      <w:t>i</w:t>
    </w:r>
    <w:r>
      <w:rPr>
        <w:rStyle w:val="PageNumber"/>
      </w:rPr>
      <w:fldChar w:fldCharType="end"/>
    </w:r>
  </w:p>
  <w:p w14:paraId="201DBFB7" w14:textId="77777777" w:rsidR="00B02D9D" w:rsidRDefault="00B02D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04D5" w14:textId="77777777" w:rsidR="00DE5ED7" w:rsidRDefault="00DE5ED7">
      <w:r>
        <w:separator/>
      </w:r>
    </w:p>
  </w:footnote>
  <w:footnote w:type="continuationSeparator" w:id="0">
    <w:p w14:paraId="422E4A42" w14:textId="77777777" w:rsidR="00DE5ED7" w:rsidRDefault="00DE5ED7">
      <w:r>
        <w:continuationSeparator/>
      </w:r>
    </w:p>
  </w:footnote>
  <w:footnote w:type="continuationNotice" w:id="1">
    <w:p w14:paraId="28B0E68B" w14:textId="77777777" w:rsidR="00DE5ED7" w:rsidRDefault="00DE5ED7"/>
  </w:footnote>
  <w:footnote w:id="2">
    <w:p w14:paraId="38FEE465" w14:textId="77777777" w:rsidR="00B02D9D" w:rsidRPr="00820535" w:rsidRDefault="00B02D9D">
      <w:pPr>
        <w:pStyle w:val="FootnoteText"/>
        <w:rPr>
          <w:sz w:val="18"/>
          <w:szCs w:val="18"/>
          <w:lang w:val="en-AU"/>
        </w:rPr>
      </w:pPr>
      <w:r w:rsidRPr="00820535">
        <w:rPr>
          <w:rStyle w:val="FootnoteReference"/>
          <w:sz w:val="18"/>
          <w:szCs w:val="18"/>
        </w:rPr>
        <w:footnoteRef/>
      </w:r>
      <w:r w:rsidRPr="00820535">
        <w:rPr>
          <w:sz w:val="18"/>
          <w:szCs w:val="18"/>
        </w:rPr>
        <w:t xml:space="preserve"> </w:t>
      </w:r>
      <w:hyperlink r:id="rId1" w:history="1">
        <w:r w:rsidRPr="004C32EF">
          <w:rPr>
            <w:rStyle w:val="Hyperlink"/>
            <w:sz w:val="18"/>
            <w:szCs w:val="18"/>
            <w:lang w:val="en-AU"/>
          </w:rPr>
          <w:t>http://www.foodstandards.gov.au/code/applications/Pages/A1137.aspx</w:t>
        </w:r>
      </w:hyperlink>
    </w:p>
  </w:footnote>
  <w:footnote w:id="3">
    <w:p w14:paraId="01AFC449" w14:textId="206DEAEC" w:rsidR="00B02D9D" w:rsidRPr="000073DA" w:rsidRDefault="00B02D9D">
      <w:pPr>
        <w:pStyle w:val="FootnoteText"/>
        <w:rPr>
          <w:lang w:val="en-AU"/>
        </w:rPr>
      </w:pPr>
      <w:r>
        <w:rPr>
          <w:rStyle w:val="FootnoteReference"/>
        </w:rPr>
        <w:footnoteRef/>
      </w:r>
      <w:r>
        <w:t xml:space="preserve"> </w:t>
      </w:r>
      <w:r>
        <w:rPr>
          <w:lang w:val="en-AU"/>
        </w:rPr>
        <w:t xml:space="preserve">General Standard for Food Additives, CODEX STAN 192-1995, revision 2017 available </w:t>
      </w:r>
      <w:hyperlink r:id="rId2" w:history="1">
        <w:r w:rsidRPr="009B7A1B">
          <w:rPr>
            <w:rStyle w:val="Hyperlink"/>
            <w:lang w:val="en-AU"/>
          </w:rPr>
          <w:t>http://www.fao.org/gsfaonline/docs/CXS_192e.pdf</w:t>
        </w:r>
      </w:hyperlink>
      <w:r>
        <w:rPr>
          <w:lang w:val="en-AU"/>
        </w:rPr>
        <w:t xml:space="preserve">  </w:t>
      </w:r>
    </w:p>
  </w:footnote>
  <w:footnote w:id="4">
    <w:p w14:paraId="2EFFF154" w14:textId="22CE3C29" w:rsidR="00B02D9D" w:rsidRPr="00F365C6" w:rsidRDefault="00B02D9D">
      <w:pPr>
        <w:pStyle w:val="FootnoteText"/>
        <w:rPr>
          <w:lang w:val="en-AU"/>
        </w:rPr>
      </w:pPr>
      <w:r>
        <w:rPr>
          <w:rStyle w:val="FootnoteReference"/>
        </w:rPr>
        <w:footnoteRef/>
      </w:r>
      <w:r>
        <w:t xml:space="preserve"> GSFA online search available </w:t>
      </w:r>
      <w:hyperlink r:id="rId3" w:history="1">
        <w:r w:rsidRPr="009B7A1B">
          <w:rPr>
            <w:rStyle w:val="Hyperlink"/>
          </w:rPr>
          <w:t>http://www.fao.org/gsfaonline/additives/search.html?lang=en</w:t>
        </w:r>
      </w:hyperlink>
      <w:r>
        <w:t xml:space="preserve"> </w:t>
      </w:r>
    </w:p>
  </w:footnote>
  <w:footnote w:id="5">
    <w:p w14:paraId="0B9B45E7" w14:textId="0FFD1C02" w:rsidR="00B02D9D" w:rsidRPr="0011085C" w:rsidRDefault="00B02D9D" w:rsidP="006A4619">
      <w:pPr>
        <w:pStyle w:val="FootnoteText"/>
        <w:rPr>
          <w:lang w:val="en-AU"/>
        </w:rPr>
      </w:pPr>
      <w:r>
        <w:rPr>
          <w:rStyle w:val="FootnoteReference"/>
        </w:rPr>
        <w:footnoteRef/>
      </w:r>
      <w:r>
        <w:t xml:space="preserve"> </w:t>
      </w:r>
      <w:r w:rsidRPr="006A4619">
        <w:rPr>
          <w:lang w:val="en-AU"/>
        </w:rPr>
        <w:t>COMMISSION REGULATION (EU) No 1129/2011</w:t>
      </w:r>
      <w:r>
        <w:rPr>
          <w:lang w:val="en-AU"/>
        </w:rPr>
        <w:t xml:space="preserve"> </w:t>
      </w:r>
      <w:r w:rsidRPr="006A4619">
        <w:rPr>
          <w:lang w:val="en-AU"/>
        </w:rPr>
        <w:t>of 11 November 2011</w:t>
      </w:r>
      <w:r>
        <w:rPr>
          <w:lang w:val="en-AU"/>
        </w:rPr>
        <w:t xml:space="preserve"> </w:t>
      </w:r>
      <w:r w:rsidRPr="006A4619">
        <w:rPr>
          <w:lang w:val="en-AU"/>
        </w:rPr>
        <w:t>amending Annex II to Regulation (EC) No 1333/2008 of the European Parliament and of the Council by establishing a Union list of food additives</w:t>
      </w:r>
      <w:r>
        <w:rPr>
          <w:lang w:val="en-AU"/>
        </w:rPr>
        <w:t xml:space="preserve">, available </w:t>
      </w:r>
      <w:hyperlink r:id="rId4" w:history="1">
        <w:r w:rsidRPr="009B7A1B">
          <w:rPr>
            <w:rStyle w:val="Hyperlink"/>
            <w:lang w:val="en-AU"/>
          </w:rPr>
          <w:t>http://eur-lex.europa.eu/legal-content/EN/TXT/PDF/?uri=OJ:L:2011:295:FULL&amp;from=EN</w:t>
        </w:r>
      </w:hyperlink>
    </w:p>
  </w:footnote>
  <w:footnote w:id="6">
    <w:p w14:paraId="5BA71A83" w14:textId="6F16223E" w:rsidR="00B02D9D" w:rsidRPr="001C6EA8" w:rsidRDefault="00B02D9D">
      <w:pPr>
        <w:pStyle w:val="FootnoteText"/>
        <w:rPr>
          <w:lang w:val="en-AU"/>
        </w:rPr>
      </w:pPr>
      <w:r>
        <w:rPr>
          <w:rStyle w:val="FootnoteReference"/>
        </w:rPr>
        <w:footnoteRef/>
      </w:r>
      <w:r>
        <w:t xml:space="preserve"> </w:t>
      </w:r>
      <w:hyperlink r:id="rId5" w:history="1">
        <w:r w:rsidRPr="009B7A1B">
          <w:rPr>
            <w:rStyle w:val="Hyperlink"/>
          </w:rPr>
          <w:t>https://webgate.ec.europa.eu/foods_system/main/?event=substances.search&amp;substances.pagination=1</w:t>
        </w:r>
      </w:hyperlink>
    </w:p>
  </w:footnote>
  <w:footnote w:id="7">
    <w:p w14:paraId="1B6680A9" w14:textId="77777777" w:rsidR="00B02D9D" w:rsidRPr="001C6EA8" w:rsidRDefault="00B02D9D" w:rsidP="001C6EA8">
      <w:pPr>
        <w:pStyle w:val="FootnoteText"/>
      </w:pPr>
      <w:r>
        <w:rPr>
          <w:rStyle w:val="FootnoteReference"/>
        </w:rPr>
        <w:footnoteRef/>
      </w:r>
      <w:r>
        <w:t xml:space="preserve"> EFSA ANS Panel (EFSA Panel on Food Additives and Nutrient Sources Added to Food), 2015. </w:t>
      </w:r>
    </w:p>
    <w:p w14:paraId="5D754EE4" w14:textId="466291F6" w:rsidR="00B02D9D" w:rsidRPr="001C6EA8" w:rsidRDefault="00B02D9D" w:rsidP="001C6EA8">
      <w:pPr>
        <w:pStyle w:val="FootnoteText"/>
        <w:rPr>
          <w:lang w:val="en-AU"/>
        </w:rPr>
      </w:pPr>
      <w:r w:rsidRPr="001C6EA8">
        <w:t xml:space="preserve"> Scientific Opinion on the re-evaluation of polyoxyethylene sorbitan monolaurate (E 432), polyoxyethylene sorbitan monooleate (E 433), polyoxyethylene sorbitan monopalmitate (E 434), polyoxyethylene sorbitan monostearate (E 435) and polyoxyethylene sorbitan tristearate (E 436) as food additives. EFSA Journal 2015;13(7):4152, 74 pp</w:t>
      </w:r>
    </w:p>
  </w:footnote>
  <w:footnote w:id="8">
    <w:p w14:paraId="666A2399" w14:textId="0F96C830" w:rsidR="00B02D9D" w:rsidRPr="00963103" w:rsidRDefault="00B02D9D" w:rsidP="00FB442C">
      <w:pPr>
        <w:pStyle w:val="FootnoteText"/>
        <w:rPr>
          <w:lang w:val="en-AU"/>
        </w:rPr>
      </w:pPr>
      <w:r>
        <w:rPr>
          <w:rStyle w:val="FootnoteReference"/>
        </w:rPr>
        <w:footnoteRef/>
      </w:r>
      <w:r>
        <w:t xml:space="preserve"> United States Food &amp; Drug Administration, </w:t>
      </w:r>
      <w:r>
        <w:rPr>
          <w:lang w:val="en-AU"/>
        </w:rPr>
        <w:t xml:space="preserve">Code of Federal Regulation, section 178.3400, available </w:t>
      </w:r>
      <w:hyperlink r:id="rId6" w:history="1">
        <w:r w:rsidRPr="009B7A1B">
          <w:rPr>
            <w:rStyle w:val="Hyperlink"/>
            <w:lang w:val="en-AU"/>
          </w:rPr>
          <w:t>https://www.accessdata.fda.gov/scripts/cdrh/cfdocs/cfcfr/cfrsearch.cfm</w:t>
        </w:r>
      </w:hyperlink>
      <w:r>
        <w:rPr>
          <w:lang w:val="en-AU"/>
        </w:rPr>
        <w:t xml:space="preserve"> </w:t>
      </w:r>
    </w:p>
  </w:footnote>
  <w:footnote w:id="9">
    <w:p w14:paraId="424AA8AB" w14:textId="0AE3FCCD" w:rsidR="00B02D9D" w:rsidRPr="00FB442C" w:rsidRDefault="00B02D9D">
      <w:pPr>
        <w:pStyle w:val="FootnoteText"/>
        <w:rPr>
          <w:lang w:val="en-AU"/>
        </w:rPr>
      </w:pPr>
      <w:r>
        <w:rPr>
          <w:rStyle w:val="FootnoteReference"/>
        </w:rPr>
        <w:footnoteRef/>
      </w:r>
      <w:r>
        <w:t xml:space="preserve"> </w:t>
      </w:r>
      <w:hyperlink r:id="rId7" w:anchor="se21.3.178_13400" w:history="1">
        <w:r w:rsidRPr="009B7A1B">
          <w:rPr>
            <w:rStyle w:val="Hyperlink"/>
          </w:rPr>
          <w:t>https://www.ecfr.gov/cgi-bin/text-idx?SID=ac79097fe6735334b83e5ce9757c5094&amp;mc=true&amp;node=pt21.3.178&amp;rgn=div5#se21.3.178_13400</w:t>
        </w:r>
      </w:hyperlink>
      <w:r>
        <w:t xml:space="preserve"> </w:t>
      </w:r>
    </w:p>
  </w:footnote>
  <w:footnote w:id="10">
    <w:p w14:paraId="5145A49D" w14:textId="218945BE" w:rsidR="00B02D9D" w:rsidRPr="00AC765E" w:rsidRDefault="00B02D9D">
      <w:pPr>
        <w:pStyle w:val="FootnoteText"/>
        <w:rPr>
          <w:lang w:val="en-AU"/>
        </w:rPr>
      </w:pPr>
      <w:r>
        <w:rPr>
          <w:rStyle w:val="FootnoteReference"/>
        </w:rPr>
        <w:footnoteRef/>
      </w:r>
      <w:r>
        <w:t xml:space="preserve"> </w:t>
      </w:r>
      <w:r>
        <w:rPr>
          <w:lang w:val="en-AU"/>
        </w:rPr>
        <w:t>Flavouring adjuvant is a substance added to a flavouring preparation that aids in imparting the active flavouring substance to the food; in this case as an emulsifier.</w:t>
      </w:r>
    </w:p>
  </w:footnote>
  <w:footnote w:id="11">
    <w:p w14:paraId="57CD211C" w14:textId="6E75A497" w:rsidR="00B02D9D" w:rsidRPr="003843BC" w:rsidRDefault="00B02D9D">
      <w:pPr>
        <w:pStyle w:val="FootnoteText"/>
        <w:rPr>
          <w:lang w:val="en-AU"/>
        </w:rPr>
      </w:pPr>
      <w:r>
        <w:rPr>
          <w:rStyle w:val="FootnoteReference"/>
        </w:rPr>
        <w:footnoteRef/>
      </w:r>
      <w:r>
        <w:t xml:space="preserve"> </w:t>
      </w:r>
      <w:r>
        <w:rPr>
          <w:lang w:val="en-AU"/>
        </w:rPr>
        <w:t xml:space="preserve">United States Food &amp; Drug Administration, Code of Federal Regulations, section 172.515, available </w:t>
      </w:r>
      <w:hyperlink r:id="rId8" w:history="1">
        <w:r w:rsidRPr="00F03B13">
          <w:rPr>
            <w:rStyle w:val="Hyperlink"/>
            <w:lang w:val="en-AU"/>
          </w:rPr>
          <w:t>https://www.accessdata.fda.gov/scripts/cdrh/cfdocs/cfcfr/CFRSearch.cfm</w:t>
        </w:r>
      </w:hyperlink>
      <w:r>
        <w:rPr>
          <w:lang w:val="en-AU"/>
        </w:rPr>
        <w:t xml:space="preserve">  </w:t>
      </w:r>
    </w:p>
  </w:footnote>
  <w:footnote w:id="12">
    <w:p w14:paraId="3480891C" w14:textId="37B9F8E5" w:rsidR="00B02D9D" w:rsidRPr="000C6C16" w:rsidRDefault="00B02D9D">
      <w:pPr>
        <w:pStyle w:val="FootnoteText"/>
      </w:pPr>
      <w:r>
        <w:rPr>
          <w:rStyle w:val="FootnoteReference"/>
        </w:rPr>
        <w:footnoteRef/>
      </w:r>
      <w:r>
        <w:t xml:space="preserve"> Standards for Use of Food Additives, The Japan Food Chemical Research Foundation, available </w:t>
      </w:r>
      <w:hyperlink r:id="rId9" w:history="1">
        <w:r w:rsidRPr="00F03B13">
          <w:rPr>
            <w:rStyle w:val="Hyperlink"/>
          </w:rPr>
          <w:t>http://www.ffcr.or.jp/zaidan/FFCRHOME.nsf/pages/stanrd.use</w:t>
        </w:r>
      </w:hyperlink>
      <w:r>
        <w:t xml:space="preserve"> </w:t>
      </w:r>
      <w:r>
        <w:rPr>
          <w:lang w:val="en-AU"/>
        </w:rPr>
        <w:t xml:space="preserve"> </w:t>
      </w:r>
    </w:p>
  </w:footnote>
  <w:footnote w:id="13">
    <w:p w14:paraId="0564FB5E" w14:textId="00D9747E" w:rsidR="00B02D9D" w:rsidRDefault="00B02D9D" w:rsidP="0009769D">
      <w:pPr>
        <w:pStyle w:val="FootnoteText"/>
        <w:rPr>
          <w:sz w:val="22"/>
          <w:szCs w:val="22"/>
        </w:rPr>
      </w:pPr>
      <w:r>
        <w:rPr>
          <w:rStyle w:val="FootnoteReference"/>
        </w:rPr>
        <w:footnoteRef/>
      </w:r>
      <w:r>
        <w:t xml:space="preserve"> </w:t>
      </w:r>
      <w:hyperlink r:id="rId10" w:anchor="Sc6-" w:history="1"/>
      <w:r>
        <w:t>Sixth Schedule (Permitted emulsifiers and permitted stabilisers), Regulation 21(2) – in Food Regulations, Agri-Food &amp; Veterinary Authority of Singapore, available</w:t>
      </w:r>
      <w:r>
        <w:rPr>
          <w:sz w:val="22"/>
          <w:szCs w:val="22"/>
        </w:rPr>
        <w:t xml:space="preserve">  </w:t>
      </w:r>
    </w:p>
    <w:p w14:paraId="3092CB0C" w14:textId="69E6BE61" w:rsidR="00B02D9D" w:rsidRDefault="00DE5ED7" w:rsidP="0009769D">
      <w:pPr>
        <w:pStyle w:val="FootnoteText"/>
        <w:rPr>
          <w:sz w:val="22"/>
          <w:szCs w:val="22"/>
        </w:rPr>
      </w:pPr>
      <w:hyperlink r:id="rId11" w:history="1">
        <w:r w:rsidR="00B02D9D" w:rsidRPr="00F03B13">
          <w:rPr>
            <w:rStyle w:val="Hyperlink"/>
            <w:sz w:val="22"/>
            <w:szCs w:val="22"/>
          </w:rPr>
          <w:t>https://www.ava.gov.sg/docs/default-source/legislation/sale-of-food-act/food-regulations38a28b1875296bf09fdaff00009b1e7c.pdf</w:t>
        </w:r>
      </w:hyperlink>
      <w:r w:rsidR="00B02D9D">
        <w:rPr>
          <w:sz w:val="22"/>
          <w:szCs w:val="22"/>
        </w:rPr>
        <w:t xml:space="preserve"> </w:t>
      </w:r>
    </w:p>
    <w:p w14:paraId="535EE305" w14:textId="612829A0" w:rsidR="00B02D9D" w:rsidRPr="00117477" w:rsidRDefault="00B02D9D">
      <w:pPr>
        <w:pStyle w:val="FootnoteText"/>
        <w:rPr>
          <w:lang w:val="en-AU"/>
        </w:rPr>
      </w:pPr>
    </w:p>
  </w:footnote>
  <w:footnote w:id="14">
    <w:p w14:paraId="1E91F90A" w14:textId="77777777" w:rsidR="00B02D9D" w:rsidRPr="00277164" w:rsidRDefault="00B02D9D" w:rsidP="00404E45">
      <w:pPr>
        <w:pStyle w:val="FootnoteText"/>
        <w:rPr>
          <w:lang w:val="en-AU"/>
        </w:rPr>
      </w:pPr>
      <w:r>
        <w:rPr>
          <w:rStyle w:val="FootnoteReference"/>
        </w:rPr>
        <w:footnoteRef/>
      </w:r>
      <w:r>
        <w:t xml:space="preserve"> </w:t>
      </w:r>
      <w:hyperlink r:id="rId12"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58FB" w14:textId="77777777" w:rsidR="00B02D9D" w:rsidRDefault="00B02D9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2D52"/>
    <w:multiLevelType w:val="hybridMultilevel"/>
    <w:tmpl w:val="A36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7B3"/>
    <w:multiLevelType w:val="hybridMultilevel"/>
    <w:tmpl w:val="DEB45CB0"/>
    <w:lvl w:ilvl="0" w:tplc="43FA43BE">
      <w:start w:val="1"/>
      <w:numFmt w:val="bullet"/>
      <w:lvlText w:val=""/>
      <w:lvlJc w:val="center"/>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5"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505D6"/>
    <w:multiLevelType w:val="hybridMultilevel"/>
    <w:tmpl w:val="43964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9"/>
  </w:num>
  <w:num w:numId="10">
    <w:abstractNumId w:val="2"/>
  </w:num>
  <w:num w:numId="11">
    <w:abstractNumId w:val="3"/>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E26"/>
    <w:rsid w:val="00004274"/>
    <w:rsid w:val="0000469B"/>
    <w:rsid w:val="00004AD1"/>
    <w:rsid w:val="00005028"/>
    <w:rsid w:val="000073DA"/>
    <w:rsid w:val="00016CB6"/>
    <w:rsid w:val="00022DBC"/>
    <w:rsid w:val="000232E7"/>
    <w:rsid w:val="00034F87"/>
    <w:rsid w:val="00035FF3"/>
    <w:rsid w:val="000427B2"/>
    <w:rsid w:val="0004400C"/>
    <w:rsid w:val="00051021"/>
    <w:rsid w:val="00051ED9"/>
    <w:rsid w:val="000544FA"/>
    <w:rsid w:val="000564DE"/>
    <w:rsid w:val="00057181"/>
    <w:rsid w:val="00064B2D"/>
    <w:rsid w:val="00065F1F"/>
    <w:rsid w:val="000735FD"/>
    <w:rsid w:val="0007466A"/>
    <w:rsid w:val="00076D33"/>
    <w:rsid w:val="000778D6"/>
    <w:rsid w:val="000877DD"/>
    <w:rsid w:val="00090BAF"/>
    <w:rsid w:val="00091CC2"/>
    <w:rsid w:val="00096D56"/>
    <w:rsid w:val="0009757B"/>
    <w:rsid w:val="0009769D"/>
    <w:rsid w:val="000A27E9"/>
    <w:rsid w:val="000A3D8B"/>
    <w:rsid w:val="000A5DF8"/>
    <w:rsid w:val="000B6AF2"/>
    <w:rsid w:val="000C412C"/>
    <w:rsid w:val="000C4173"/>
    <w:rsid w:val="000C6C16"/>
    <w:rsid w:val="000D295F"/>
    <w:rsid w:val="000D2B8F"/>
    <w:rsid w:val="000D5D2A"/>
    <w:rsid w:val="000D6FD4"/>
    <w:rsid w:val="000E0AE4"/>
    <w:rsid w:val="000E3DBC"/>
    <w:rsid w:val="000F10F0"/>
    <w:rsid w:val="001062F4"/>
    <w:rsid w:val="0011085C"/>
    <w:rsid w:val="0011145A"/>
    <w:rsid w:val="00113CE3"/>
    <w:rsid w:val="00115647"/>
    <w:rsid w:val="00117477"/>
    <w:rsid w:val="00117522"/>
    <w:rsid w:val="00151550"/>
    <w:rsid w:val="001526C3"/>
    <w:rsid w:val="001542D8"/>
    <w:rsid w:val="0015537B"/>
    <w:rsid w:val="001609AC"/>
    <w:rsid w:val="00180C41"/>
    <w:rsid w:val="00182C4C"/>
    <w:rsid w:val="00186057"/>
    <w:rsid w:val="00186BD1"/>
    <w:rsid w:val="00195254"/>
    <w:rsid w:val="00197D8D"/>
    <w:rsid w:val="001A1A75"/>
    <w:rsid w:val="001A7E9A"/>
    <w:rsid w:val="001B2986"/>
    <w:rsid w:val="001B33EA"/>
    <w:rsid w:val="001C27A3"/>
    <w:rsid w:val="001C282C"/>
    <w:rsid w:val="001C3D2F"/>
    <w:rsid w:val="001C5295"/>
    <w:rsid w:val="001C5DCB"/>
    <w:rsid w:val="001C6EA8"/>
    <w:rsid w:val="001E09FA"/>
    <w:rsid w:val="001E6DC3"/>
    <w:rsid w:val="001E7F0A"/>
    <w:rsid w:val="001F5B9C"/>
    <w:rsid w:val="001F6652"/>
    <w:rsid w:val="001F719F"/>
    <w:rsid w:val="001F74B2"/>
    <w:rsid w:val="00203540"/>
    <w:rsid w:val="0020640B"/>
    <w:rsid w:val="00221D07"/>
    <w:rsid w:val="00227E4A"/>
    <w:rsid w:val="002402D6"/>
    <w:rsid w:val="002403C3"/>
    <w:rsid w:val="002432EE"/>
    <w:rsid w:val="0024582E"/>
    <w:rsid w:val="002547EF"/>
    <w:rsid w:val="00256D65"/>
    <w:rsid w:val="00271F00"/>
    <w:rsid w:val="00273A80"/>
    <w:rsid w:val="0027513D"/>
    <w:rsid w:val="00276026"/>
    <w:rsid w:val="00276209"/>
    <w:rsid w:val="002839CD"/>
    <w:rsid w:val="00284465"/>
    <w:rsid w:val="002851C8"/>
    <w:rsid w:val="0029204E"/>
    <w:rsid w:val="00292A5B"/>
    <w:rsid w:val="00294BAD"/>
    <w:rsid w:val="0029631C"/>
    <w:rsid w:val="002A0194"/>
    <w:rsid w:val="002A5F8B"/>
    <w:rsid w:val="002A7F6C"/>
    <w:rsid w:val="002B0D8E"/>
    <w:rsid w:val="002B1C9E"/>
    <w:rsid w:val="002C3F20"/>
    <w:rsid w:val="002C4A91"/>
    <w:rsid w:val="002C7C40"/>
    <w:rsid w:val="002D4272"/>
    <w:rsid w:val="002D6809"/>
    <w:rsid w:val="002E086A"/>
    <w:rsid w:val="002E0F5B"/>
    <w:rsid w:val="002E553C"/>
    <w:rsid w:val="002F6488"/>
    <w:rsid w:val="0030279C"/>
    <w:rsid w:val="00310E84"/>
    <w:rsid w:val="00315A71"/>
    <w:rsid w:val="003213F9"/>
    <w:rsid w:val="00323DBF"/>
    <w:rsid w:val="00325403"/>
    <w:rsid w:val="003254FA"/>
    <w:rsid w:val="00326365"/>
    <w:rsid w:val="003263B9"/>
    <w:rsid w:val="003309A8"/>
    <w:rsid w:val="00331A74"/>
    <w:rsid w:val="00332B12"/>
    <w:rsid w:val="0033470E"/>
    <w:rsid w:val="003354D1"/>
    <w:rsid w:val="00336711"/>
    <w:rsid w:val="00347935"/>
    <w:rsid w:val="00350DBD"/>
    <w:rsid w:val="00351927"/>
    <w:rsid w:val="00351B07"/>
    <w:rsid w:val="0036268A"/>
    <w:rsid w:val="00364841"/>
    <w:rsid w:val="00370445"/>
    <w:rsid w:val="00371B29"/>
    <w:rsid w:val="00372182"/>
    <w:rsid w:val="003735A3"/>
    <w:rsid w:val="0037520F"/>
    <w:rsid w:val="003843BC"/>
    <w:rsid w:val="0038779C"/>
    <w:rsid w:val="00391769"/>
    <w:rsid w:val="003953E1"/>
    <w:rsid w:val="003956B3"/>
    <w:rsid w:val="003A68BE"/>
    <w:rsid w:val="003A7725"/>
    <w:rsid w:val="003B3C9D"/>
    <w:rsid w:val="003B78E0"/>
    <w:rsid w:val="003C4969"/>
    <w:rsid w:val="003C5677"/>
    <w:rsid w:val="003D427C"/>
    <w:rsid w:val="003E41D5"/>
    <w:rsid w:val="003E46BA"/>
    <w:rsid w:val="003E7D22"/>
    <w:rsid w:val="003F74C1"/>
    <w:rsid w:val="00404E45"/>
    <w:rsid w:val="00405B1A"/>
    <w:rsid w:val="00407241"/>
    <w:rsid w:val="0040761E"/>
    <w:rsid w:val="00407DF4"/>
    <w:rsid w:val="00410C76"/>
    <w:rsid w:val="00411907"/>
    <w:rsid w:val="00413B42"/>
    <w:rsid w:val="00413CA8"/>
    <w:rsid w:val="00417EE3"/>
    <w:rsid w:val="004207EB"/>
    <w:rsid w:val="00427F2B"/>
    <w:rsid w:val="00435FA5"/>
    <w:rsid w:val="00436463"/>
    <w:rsid w:val="00436B8D"/>
    <w:rsid w:val="00437276"/>
    <w:rsid w:val="00447E67"/>
    <w:rsid w:val="0045556F"/>
    <w:rsid w:val="00456B54"/>
    <w:rsid w:val="00464643"/>
    <w:rsid w:val="004646F8"/>
    <w:rsid w:val="00475E1C"/>
    <w:rsid w:val="00483C5F"/>
    <w:rsid w:val="00486793"/>
    <w:rsid w:val="00494CD4"/>
    <w:rsid w:val="0049729B"/>
    <w:rsid w:val="00497B3D"/>
    <w:rsid w:val="004A2037"/>
    <w:rsid w:val="004A35B6"/>
    <w:rsid w:val="004A3685"/>
    <w:rsid w:val="004A70A8"/>
    <w:rsid w:val="004C2CE7"/>
    <w:rsid w:val="004C3C5C"/>
    <w:rsid w:val="004C418C"/>
    <w:rsid w:val="004D30A6"/>
    <w:rsid w:val="004D6BBF"/>
    <w:rsid w:val="004F4F98"/>
    <w:rsid w:val="004F69F6"/>
    <w:rsid w:val="004F79AC"/>
    <w:rsid w:val="005017CF"/>
    <w:rsid w:val="00505CFD"/>
    <w:rsid w:val="00512290"/>
    <w:rsid w:val="00515EF8"/>
    <w:rsid w:val="005207D8"/>
    <w:rsid w:val="00521F70"/>
    <w:rsid w:val="0052649E"/>
    <w:rsid w:val="0053464E"/>
    <w:rsid w:val="005358B0"/>
    <w:rsid w:val="00550F29"/>
    <w:rsid w:val="00551CE9"/>
    <w:rsid w:val="00553969"/>
    <w:rsid w:val="00562917"/>
    <w:rsid w:val="00586228"/>
    <w:rsid w:val="0059227F"/>
    <w:rsid w:val="0059498B"/>
    <w:rsid w:val="005A3A03"/>
    <w:rsid w:val="005B01E7"/>
    <w:rsid w:val="005B4E0E"/>
    <w:rsid w:val="005B615C"/>
    <w:rsid w:val="005B6AF4"/>
    <w:rsid w:val="005C04CB"/>
    <w:rsid w:val="005C2861"/>
    <w:rsid w:val="005C71BA"/>
    <w:rsid w:val="005D0A9C"/>
    <w:rsid w:val="005D16AD"/>
    <w:rsid w:val="005D72E1"/>
    <w:rsid w:val="005E2F53"/>
    <w:rsid w:val="005E68FB"/>
    <w:rsid w:val="005E6E16"/>
    <w:rsid w:val="005F0B00"/>
    <w:rsid w:val="005F3DD6"/>
    <w:rsid w:val="005F400E"/>
    <w:rsid w:val="005F7342"/>
    <w:rsid w:val="00603A08"/>
    <w:rsid w:val="006066BC"/>
    <w:rsid w:val="00606C88"/>
    <w:rsid w:val="00607388"/>
    <w:rsid w:val="00610A3C"/>
    <w:rsid w:val="006211CD"/>
    <w:rsid w:val="00626B17"/>
    <w:rsid w:val="00627F48"/>
    <w:rsid w:val="00633ACA"/>
    <w:rsid w:val="006342E0"/>
    <w:rsid w:val="006404C9"/>
    <w:rsid w:val="00642A47"/>
    <w:rsid w:val="00644206"/>
    <w:rsid w:val="00646FDD"/>
    <w:rsid w:val="00663FCF"/>
    <w:rsid w:val="006652A2"/>
    <w:rsid w:val="00681754"/>
    <w:rsid w:val="00681D53"/>
    <w:rsid w:val="00683E69"/>
    <w:rsid w:val="00685269"/>
    <w:rsid w:val="006937FF"/>
    <w:rsid w:val="006965BF"/>
    <w:rsid w:val="006A4619"/>
    <w:rsid w:val="006A48A7"/>
    <w:rsid w:val="006B4BA1"/>
    <w:rsid w:val="006C28E2"/>
    <w:rsid w:val="006C4C54"/>
    <w:rsid w:val="006C5CF5"/>
    <w:rsid w:val="006D2CEC"/>
    <w:rsid w:val="006E3E06"/>
    <w:rsid w:val="006E502F"/>
    <w:rsid w:val="006E527D"/>
    <w:rsid w:val="006F17A0"/>
    <w:rsid w:val="006F1909"/>
    <w:rsid w:val="006F333E"/>
    <w:rsid w:val="006F4A82"/>
    <w:rsid w:val="006F7B5B"/>
    <w:rsid w:val="00700239"/>
    <w:rsid w:val="0070373B"/>
    <w:rsid w:val="00705694"/>
    <w:rsid w:val="007058F5"/>
    <w:rsid w:val="00707E72"/>
    <w:rsid w:val="007113EB"/>
    <w:rsid w:val="0072150F"/>
    <w:rsid w:val="007226D1"/>
    <w:rsid w:val="00724FA4"/>
    <w:rsid w:val="00726C2F"/>
    <w:rsid w:val="00730800"/>
    <w:rsid w:val="00730B9E"/>
    <w:rsid w:val="007368AB"/>
    <w:rsid w:val="00737902"/>
    <w:rsid w:val="007400BF"/>
    <w:rsid w:val="00741EE5"/>
    <w:rsid w:val="00741EFE"/>
    <w:rsid w:val="00757CB6"/>
    <w:rsid w:val="007602AA"/>
    <w:rsid w:val="007652EF"/>
    <w:rsid w:val="00772BDC"/>
    <w:rsid w:val="00773033"/>
    <w:rsid w:val="00780792"/>
    <w:rsid w:val="00791EA9"/>
    <w:rsid w:val="007A428F"/>
    <w:rsid w:val="007A44B4"/>
    <w:rsid w:val="007A7D3D"/>
    <w:rsid w:val="007B225D"/>
    <w:rsid w:val="007C1676"/>
    <w:rsid w:val="007C174F"/>
    <w:rsid w:val="007C1C64"/>
    <w:rsid w:val="007D40A1"/>
    <w:rsid w:val="007E48BC"/>
    <w:rsid w:val="007E79F7"/>
    <w:rsid w:val="007F3630"/>
    <w:rsid w:val="00807559"/>
    <w:rsid w:val="00820535"/>
    <w:rsid w:val="00820EF5"/>
    <w:rsid w:val="00825A61"/>
    <w:rsid w:val="00827BBD"/>
    <w:rsid w:val="008447B4"/>
    <w:rsid w:val="008450BC"/>
    <w:rsid w:val="00845E8F"/>
    <w:rsid w:val="0084605D"/>
    <w:rsid w:val="00851A60"/>
    <w:rsid w:val="00852127"/>
    <w:rsid w:val="0085334B"/>
    <w:rsid w:val="00867B23"/>
    <w:rsid w:val="00870214"/>
    <w:rsid w:val="00876515"/>
    <w:rsid w:val="00880A36"/>
    <w:rsid w:val="008828D9"/>
    <w:rsid w:val="00885C51"/>
    <w:rsid w:val="00885EB0"/>
    <w:rsid w:val="0089264A"/>
    <w:rsid w:val="00896B85"/>
    <w:rsid w:val="00897554"/>
    <w:rsid w:val="008A22BE"/>
    <w:rsid w:val="008A3221"/>
    <w:rsid w:val="008A35FB"/>
    <w:rsid w:val="008B0075"/>
    <w:rsid w:val="008B5567"/>
    <w:rsid w:val="008C0E7A"/>
    <w:rsid w:val="008C1B36"/>
    <w:rsid w:val="008C1E52"/>
    <w:rsid w:val="008D06C6"/>
    <w:rsid w:val="008D0E20"/>
    <w:rsid w:val="008D52EE"/>
    <w:rsid w:val="008E574F"/>
    <w:rsid w:val="008E6250"/>
    <w:rsid w:val="008F555E"/>
    <w:rsid w:val="00901183"/>
    <w:rsid w:val="00901EF6"/>
    <w:rsid w:val="00902AF6"/>
    <w:rsid w:val="00914030"/>
    <w:rsid w:val="00920249"/>
    <w:rsid w:val="00924533"/>
    <w:rsid w:val="00924C80"/>
    <w:rsid w:val="00932F14"/>
    <w:rsid w:val="0094247F"/>
    <w:rsid w:val="00942D60"/>
    <w:rsid w:val="00944BA4"/>
    <w:rsid w:val="00946453"/>
    <w:rsid w:val="00953FD6"/>
    <w:rsid w:val="00963103"/>
    <w:rsid w:val="0096523B"/>
    <w:rsid w:val="00966EE3"/>
    <w:rsid w:val="00971A8D"/>
    <w:rsid w:val="00972D06"/>
    <w:rsid w:val="00975FE6"/>
    <w:rsid w:val="00992995"/>
    <w:rsid w:val="009A391C"/>
    <w:rsid w:val="009A50F2"/>
    <w:rsid w:val="009B112D"/>
    <w:rsid w:val="009B187A"/>
    <w:rsid w:val="009B66AA"/>
    <w:rsid w:val="009B6A0E"/>
    <w:rsid w:val="009C4322"/>
    <w:rsid w:val="009D0943"/>
    <w:rsid w:val="009D790B"/>
    <w:rsid w:val="009D7AAA"/>
    <w:rsid w:val="009E0A61"/>
    <w:rsid w:val="009E3010"/>
    <w:rsid w:val="009E3DBE"/>
    <w:rsid w:val="009E6B7C"/>
    <w:rsid w:val="009F007E"/>
    <w:rsid w:val="009F00AB"/>
    <w:rsid w:val="009F0C86"/>
    <w:rsid w:val="009F1BCF"/>
    <w:rsid w:val="009F6982"/>
    <w:rsid w:val="009F6F73"/>
    <w:rsid w:val="009F7065"/>
    <w:rsid w:val="00A12B44"/>
    <w:rsid w:val="00A22C0B"/>
    <w:rsid w:val="00A23D02"/>
    <w:rsid w:val="00A246AC"/>
    <w:rsid w:val="00A31D04"/>
    <w:rsid w:val="00A3776E"/>
    <w:rsid w:val="00A40193"/>
    <w:rsid w:val="00A4175D"/>
    <w:rsid w:val="00A44692"/>
    <w:rsid w:val="00A50610"/>
    <w:rsid w:val="00A54934"/>
    <w:rsid w:val="00A56DC7"/>
    <w:rsid w:val="00A56E34"/>
    <w:rsid w:val="00A64625"/>
    <w:rsid w:val="00A64FF1"/>
    <w:rsid w:val="00A656BE"/>
    <w:rsid w:val="00A74FD1"/>
    <w:rsid w:val="00A80291"/>
    <w:rsid w:val="00A8246B"/>
    <w:rsid w:val="00A84A58"/>
    <w:rsid w:val="00A91DF1"/>
    <w:rsid w:val="00AB0275"/>
    <w:rsid w:val="00AC2E0F"/>
    <w:rsid w:val="00AC74CB"/>
    <w:rsid w:val="00AC765E"/>
    <w:rsid w:val="00AD22F9"/>
    <w:rsid w:val="00AD7A3D"/>
    <w:rsid w:val="00AE4E6E"/>
    <w:rsid w:val="00AE766D"/>
    <w:rsid w:val="00AF06FC"/>
    <w:rsid w:val="00AF3391"/>
    <w:rsid w:val="00AF387F"/>
    <w:rsid w:val="00AF602C"/>
    <w:rsid w:val="00B00E7F"/>
    <w:rsid w:val="00B029D8"/>
    <w:rsid w:val="00B02D9D"/>
    <w:rsid w:val="00B06DF7"/>
    <w:rsid w:val="00B173DA"/>
    <w:rsid w:val="00B21DCC"/>
    <w:rsid w:val="00B22F09"/>
    <w:rsid w:val="00B23B4F"/>
    <w:rsid w:val="00B25F37"/>
    <w:rsid w:val="00B31669"/>
    <w:rsid w:val="00B35FEA"/>
    <w:rsid w:val="00B402AA"/>
    <w:rsid w:val="00B40554"/>
    <w:rsid w:val="00B44422"/>
    <w:rsid w:val="00B46EA0"/>
    <w:rsid w:val="00B4758A"/>
    <w:rsid w:val="00B51E03"/>
    <w:rsid w:val="00B65710"/>
    <w:rsid w:val="00B668DE"/>
    <w:rsid w:val="00B71F51"/>
    <w:rsid w:val="00B731D3"/>
    <w:rsid w:val="00B81E55"/>
    <w:rsid w:val="00B839A3"/>
    <w:rsid w:val="00B853D2"/>
    <w:rsid w:val="00B86EA3"/>
    <w:rsid w:val="00B902BD"/>
    <w:rsid w:val="00B9694C"/>
    <w:rsid w:val="00BA24E2"/>
    <w:rsid w:val="00BA2AB3"/>
    <w:rsid w:val="00BB5930"/>
    <w:rsid w:val="00BD2A39"/>
    <w:rsid w:val="00BD2E80"/>
    <w:rsid w:val="00BE0A90"/>
    <w:rsid w:val="00BE11B8"/>
    <w:rsid w:val="00BE3818"/>
    <w:rsid w:val="00BE6451"/>
    <w:rsid w:val="00BF0E06"/>
    <w:rsid w:val="00BF40F0"/>
    <w:rsid w:val="00BF67CE"/>
    <w:rsid w:val="00BF7FF0"/>
    <w:rsid w:val="00C12502"/>
    <w:rsid w:val="00C1266C"/>
    <w:rsid w:val="00C13B7F"/>
    <w:rsid w:val="00C14616"/>
    <w:rsid w:val="00C14FD2"/>
    <w:rsid w:val="00C36578"/>
    <w:rsid w:val="00C40AA5"/>
    <w:rsid w:val="00C44DD5"/>
    <w:rsid w:val="00C4604E"/>
    <w:rsid w:val="00C46F70"/>
    <w:rsid w:val="00C476D0"/>
    <w:rsid w:val="00C50D78"/>
    <w:rsid w:val="00C511F3"/>
    <w:rsid w:val="00C56F71"/>
    <w:rsid w:val="00C63580"/>
    <w:rsid w:val="00C7449C"/>
    <w:rsid w:val="00C836E3"/>
    <w:rsid w:val="00C86577"/>
    <w:rsid w:val="00C92D1F"/>
    <w:rsid w:val="00C92E07"/>
    <w:rsid w:val="00C94942"/>
    <w:rsid w:val="00C95A55"/>
    <w:rsid w:val="00C96868"/>
    <w:rsid w:val="00C96A50"/>
    <w:rsid w:val="00CA0416"/>
    <w:rsid w:val="00CA3C65"/>
    <w:rsid w:val="00CA7F35"/>
    <w:rsid w:val="00CB1375"/>
    <w:rsid w:val="00CB2D0C"/>
    <w:rsid w:val="00CB3FCB"/>
    <w:rsid w:val="00CB5481"/>
    <w:rsid w:val="00CC36E7"/>
    <w:rsid w:val="00CC560B"/>
    <w:rsid w:val="00CC75E2"/>
    <w:rsid w:val="00CD222B"/>
    <w:rsid w:val="00CD46EB"/>
    <w:rsid w:val="00CD5339"/>
    <w:rsid w:val="00CD7EBF"/>
    <w:rsid w:val="00CE0AEB"/>
    <w:rsid w:val="00CE25C8"/>
    <w:rsid w:val="00CE778A"/>
    <w:rsid w:val="00CF46A4"/>
    <w:rsid w:val="00D04529"/>
    <w:rsid w:val="00D056F1"/>
    <w:rsid w:val="00D062E4"/>
    <w:rsid w:val="00D11171"/>
    <w:rsid w:val="00D14405"/>
    <w:rsid w:val="00D14426"/>
    <w:rsid w:val="00D2071E"/>
    <w:rsid w:val="00D209C9"/>
    <w:rsid w:val="00D20E5F"/>
    <w:rsid w:val="00D22A19"/>
    <w:rsid w:val="00D22F3C"/>
    <w:rsid w:val="00D23DB6"/>
    <w:rsid w:val="00D26814"/>
    <w:rsid w:val="00D3171B"/>
    <w:rsid w:val="00D33F56"/>
    <w:rsid w:val="00D42E22"/>
    <w:rsid w:val="00D43FE6"/>
    <w:rsid w:val="00D51A95"/>
    <w:rsid w:val="00D54146"/>
    <w:rsid w:val="00D60568"/>
    <w:rsid w:val="00D676CF"/>
    <w:rsid w:val="00D70C7A"/>
    <w:rsid w:val="00D73931"/>
    <w:rsid w:val="00D81D38"/>
    <w:rsid w:val="00D8470F"/>
    <w:rsid w:val="00D8471A"/>
    <w:rsid w:val="00DA10A8"/>
    <w:rsid w:val="00DA356C"/>
    <w:rsid w:val="00DB1E08"/>
    <w:rsid w:val="00DB2973"/>
    <w:rsid w:val="00DB324A"/>
    <w:rsid w:val="00DB7A08"/>
    <w:rsid w:val="00DC1B56"/>
    <w:rsid w:val="00DC2129"/>
    <w:rsid w:val="00DC3C72"/>
    <w:rsid w:val="00DC6570"/>
    <w:rsid w:val="00DD0FAA"/>
    <w:rsid w:val="00DD3C5E"/>
    <w:rsid w:val="00DE3478"/>
    <w:rsid w:val="00DE5ED7"/>
    <w:rsid w:val="00DE7252"/>
    <w:rsid w:val="00DE79D9"/>
    <w:rsid w:val="00DF25C3"/>
    <w:rsid w:val="00DF5435"/>
    <w:rsid w:val="00E02A3C"/>
    <w:rsid w:val="00E04062"/>
    <w:rsid w:val="00E063C6"/>
    <w:rsid w:val="00E07772"/>
    <w:rsid w:val="00E115C1"/>
    <w:rsid w:val="00E11E1E"/>
    <w:rsid w:val="00E148C0"/>
    <w:rsid w:val="00E2003B"/>
    <w:rsid w:val="00E203C2"/>
    <w:rsid w:val="00E24DE8"/>
    <w:rsid w:val="00E279D8"/>
    <w:rsid w:val="00E319B1"/>
    <w:rsid w:val="00E349CE"/>
    <w:rsid w:val="00E34D7A"/>
    <w:rsid w:val="00E356B1"/>
    <w:rsid w:val="00E40ED4"/>
    <w:rsid w:val="00E44E0D"/>
    <w:rsid w:val="00E520FE"/>
    <w:rsid w:val="00E5492F"/>
    <w:rsid w:val="00E54E59"/>
    <w:rsid w:val="00E62DEF"/>
    <w:rsid w:val="00E70A86"/>
    <w:rsid w:val="00E72650"/>
    <w:rsid w:val="00E73040"/>
    <w:rsid w:val="00E75054"/>
    <w:rsid w:val="00E751D6"/>
    <w:rsid w:val="00E777EC"/>
    <w:rsid w:val="00E80FCD"/>
    <w:rsid w:val="00E81F6E"/>
    <w:rsid w:val="00E83B6E"/>
    <w:rsid w:val="00EA7F2F"/>
    <w:rsid w:val="00EB4ACB"/>
    <w:rsid w:val="00EC00DE"/>
    <w:rsid w:val="00EC1168"/>
    <w:rsid w:val="00EC30E1"/>
    <w:rsid w:val="00ED07CF"/>
    <w:rsid w:val="00ED172A"/>
    <w:rsid w:val="00EE0A23"/>
    <w:rsid w:val="00EE1249"/>
    <w:rsid w:val="00EE6A92"/>
    <w:rsid w:val="00EF13F2"/>
    <w:rsid w:val="00EF42C1"/>
    <w:rsid w:val="00F00B7F"/>
    <w:rsid w:val="00F0750B"/>
    <w:rsid w:val="00F12663"/>
    <w:rsid w:val="00F14BEC"/>
    <w:rsid w:val="00F225C5"/>
    <w:rsid w:val="00F2587A"/>
    <w:rsid w:val="00F33A1C"/>
    <w:rsid w:val="00F33BB8"/>
    <w:rsid w:val="00F348DE"/>
    <w:rsid w:val="00F365C6"/>
    <w:rsid w:val="00F367E7"/>
    <w:rsid w:val="00F3715D"/>
    <w:rsid w:val="00F420C8"/>
    <w:rsid w:val="00F42937"/>
    <w:rsid w:val="00F42A4C"/>
    <w:rsid w:val="00F513A7"/>
    <w:rsid w:val="00F53B04"/>
    <w:rsid w:val="00F5754D"/>
    <w:rsid w:val="00F604DE"/>
    <w:rsid w:val="00F64653"/>
    <w:rsid w:val="00F71ABC"/>
    <w:rsid w:val="00F879E2"/>
    <w:rsid w:val="00F947F2"/>
    <w:rsid w:val="00FB1533"/>
    <w:rsid w:val="00FB442C"/>
    <w:rsid w:val="00FB67A3"/>
    <w:rsid w:val="00FB7512"/>
    <w:rsid w:val="00FD2FBE"/>
    <w:rsid w:val="00FD52F0"/>
    <w:rsid w:val="00FD7547"/>
    <w:rsid w:val="00FE1E51"/>
    <w:rsid w:val="00FE230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CE010"/>
  <w15:docId w15:val="{E67958A5-50CB-43A9-A607-7F121046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6D2CEC"/>
    <w:pPr>
      <w:ind w:left="720"/>
      <w:contextualSpacing/>
    </w:pPr>
  </w:style>
  <w:style w:type="table" w:customStyle="1" w:styleId="TableGrid1">
    <w:name w:val="Table Grid1"/>
    <w:basedOn w:val="TableNormal"/>
    <w:next w:val="TableGrid"/>
    <w:uiPriority w:val="59"/>
    <w:rsid w:val="006D2C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9769D"/>
    <w:pPr>
      <w:autoSpaceDE w:val="0"/>
      <w:autoSpaceDN w:val="0"/>
      <w:adjustRightInd w:val="0"/>
    </w:pPr>
    <w:rPr>
      <w:rFonts w:ascii="Arial" w:hAnsi="Arial" w:cs="Arial"/>
      <w:color w:val="000000"/>
      <w:sz w:val="24"/>
      <w:szCs w:val="24"/>
    </w:rPr>
  </w:style>
  <w:style w:type="table" w:styleId="ListTable4">
    <w:name w:val="List Table 4"/>
    <w:basedOn w:val="TableNormal"/>
    <w:uiPriority w:val="49"/>
    <w:rsid w:val="003D42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rsid w:val="00413B42"/>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3B42"/>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3B42"/>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fsanzapps/applications/A1137/Shared%20Documents/Working%20folder/Policy%20http:/www.foodstandards.gov.au/code/fofr/fofrpolicy/pages/default.aspx" TargetMode="External"/><Relationship Id="rId23" Type="http://schemas.openxmlformats.org/officeDocument/2006/relationships/hyperlink" Target="http://www.foodstandards.gov.au/code/applications/Pages/A1137.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ccessdata.fda.gov/scripts/cdrh/cfdocs/cfcfr/CFRSearch.cfm" TargetMode="External"/><Relationship Id="rId3" Type="http://schemas.openxmlformats.org/officeDocument/2006/relationships/hyperlink" Target="http://www.fao.org/gsfaonline/additives/search.html?lang=en" TargetMode="External"/><Relationship Id="rId7" Type="http://schemas.openxmlformats.org/officeDocument/2006/relationships/hyperlink" Target="https://www.ecfr.gov/cgi-bin/text-idx?SID=ac79097fe6735334b83e5ce9757c5094&amp;mc=true&amp;node=pt21.3.178&amp;rgn=div5" TargetMode="External"/><Relationship Id="rId12" Type="http://schemas.openxmlformats.org/officeDocument/2006/relationships/hyperlink" Target="http://www.foodstandards.gov.au/code/fofr/fofrpolicy/pages/default.aspx" TargetMode="External"/><Relationship Id="rId2" Type="http://schemas.openxmlformats.org/officeDocument/2006/relationships/hyperlink" Target="http://www.fao.org/gsfaonline/docs/CXS_192e.pdf" TargetMode="External"/><Relationship Id="rId1" Type="http://schemas.openxmlformats.org/officeDocument/2006/relationships/hyperlink" Target="http://www.foodstandards.gov.au/code/applications/Pages/A1137.aspx" TargetMode="External"/><Relationship Id="rId6" Type="http://schemas.openxmlformats.org/officeDocument/2006/relationships/hyperlink" Target="https://www.accessdata.fda.gov/scripts/cdrh/cfdocs/cfcfr/cfrsearch.cfm" TargetMode="External"/><Relationship Id="rId11" Type="http://schemas.openxmlformats.org/officeDocument/2006/relationships/hyperlink" Target="https://www.ava.gov.sg/docs/default-source/legislation/sale-of-food-act/food-regulations38a28b1875296bf09fdaff00009b1e7c.pdf" TargetMode="External"/><Relationship Id="rId5" Type="http://schemas.openxmlformats.org/officeDocument/2006/relationships/hyperlink" Target="https://webgate.ec.europa.eu/foods_system/main/?event=substances.search&amp;substances.pagination=1" TargetMode="External"/><Relationship Id="rId10" Type="http://schemas.openxmlformats.org/officeDocument/2006/relationships/hyperlink" Target="http://statutes.agc.gov.sg/aol/search/display/view.w3p;ident=495360a0-a0f3-4f7c-9c30-213ee8a813b7;page=0;query=CompId%3Aa1fd9f9e-34e0-4b01-bfc5-c2aa293432f0%20ValidTime%3A20160520000000%20TransactionTime%3A20160520000000;rec=0;resUrl=http%3A%2F%2Fstatutes.agc.gov.sg%2Faol%2Fbrowse%2FtitleResults.w3p%3Bletter%3DF%3Btype%3DslCur" TargetMode="External"/><Relationship Id="rId4" Type="http://schemas.openxmlformats.org/officeDocument/2006/relationships/hyperlink" Target="http://eur-lex.europa.eu/legal-content/EN/TXT/PDF/?uri=OJ:L:2011:295:FULL&amp;from=EN" TargetMode="External"/><Relationship Id="rId9" Type="http://schemas.openxmlformats.org/officeDocument/2006/relationships/hyperlink" Target="http://www.ffcr.or.jp/zaidan/FFCRHOME.nsf/pages/stanr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CD63-B61B-4ED5-9DE7-A5D27F4CC3AA}"/>
</file>

<file path=customXml/itemProps2.xml><?xml version="1.0" encoding="utf-8"?>
<ds:datastoreItem xmlns:ds="http://schemas.openxmlformats.org/officeDocument/2006/customXml" ds:itemID="{96AE6D3D-EC7F-44F6-AF8A-6980B0D44DEB}"/>
</file>

<file path=customXml/itemProps3.xml><?xml version="1.0" encoding="utf-8"?>
<ds:datastoreItem xmlns:ds="http://schemas.openxmlformats.org/officeDocument/2006/customXml" ds:itemID="{D9D2AA4A-1D01-47CC-A37C-159EDBBC4930}"/>
</file>

<file path=customXml/itemProps4.xml><?xml version="1.0" encoding="utf-8"?>
<ds:datastoreItem xmlns:ds="http://schemas.openxmlformats.org/officeDocument/2006/customXml" ds:itemID="{C6E3F328-E197-4E4A-8E66-F86C164B206B}">
  <ds:schemaRefs>
    <ds:schemaRef ds:uri="Microsoft.SharePoint.Taxonomy.ContentTypeSync"/>
  </ds:schemaRefs>
</ds:datastoreItem>
</file>

<file path=customXml/itemProps5.xml><?xml version="1.0" encoding="utf-8"?>
<ds:datastoreItem xmlns:ds="http://schemas.openxmlformats.org/officeDocument/2006/customXml" ds:itemID="{B137AB17-9059-45C9-916C-2C8D7C9A96EA}">
  <ds:schemaRefs>
    <ds:schemaRef ds:uri="http://schemas.microsoft.com/sharepoint/events"/>
  </ds:schemaRefs>
</ds:datastoreItem>
</file>

<file path=customXml/itemProps6.xml><?xml version="1.0" encoding="utf-8"?>
<ds:datastoreItem xmlns:ds="http://schemas.openxmlformats.org/officeDocument/2006/customXml" ds:itemID="{365D0562-1E81-426C-B399-BC7FDA333132}"/>
</file>

<file path=customXml/itemProps7.xml><?xml version="1.0" encoding="utf-8"?>
<ds:datastoreItem xmlns:ds="http://schemas.openxmlformats.org/officeDocument/2006/customXml" ds:itemID="{C3CBA63D-EBD9-4C87-B23B-015AC98FEE51}"/>
</file>

<file path=docProps/app.xml><?xml version="1.0" encoding="utf-8"?>
<Properties xmlns="http://schemas.openxmlformats.org/officeDocument/2006/extended-properties" xmlns:vt="http://schemas.openxmlformats.org/officeDocument/2006/docPropsVTypes">
  <Template>Normal</Template>
  <TotalTime>1</TotalTime>
  <Pages>1</Pages>
  <Words>6189</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41390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lastModifiedBy>Christine Coughlan</cp:lastModifiedBy>
  <cp:revision>4</cp:revision>
  <cp:lastPrinted>2018-06-19T05:11:00Z</cp:lastPrinted>
  <dcterms:created xsi:type="dcterms:W3CDTF">2018-06-20T01:07:00Z</dcterms:created>
  <dcterms:modified xsi:type="dcterms:W3CDTF">2018-06-20T01:08:00Z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0ac5cc0c-25b8-4039-a590-2d06e1d7e5b3</vt:lpwstr>
  </property>
  <property fmtid="{D5CDD505-2E9C-101B-9397-08002B2CF9AE}" pid="6" name="docIndexRef">
    <vt:lpwstr>d04607c5-16ff-4ab7-ae29-30fa941d5ab8</vt:lpwstr>
  </property>
  <property fmtid="{D5CDD505-2E9C-101B-9397-08002B2CF9AE}" pid="7" name="bjSaver">
    <vt:lpwstr>MGDMrtrA0aC/7nR6i/ZsBNDxscKyeXA3</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RecordPoint_WorkflowType">
    <vt:lpwstr>ActiveSubmitStub</vt:lpwstr>
  </property>
  <property fmtid="{D5CDD505-2E9C-101B-9397-08002B2CF9AE}" pid="12" name="RecordPoint_ActiveItemListId">
    <vt:lpwstr>{394ec8a3-1faa-474b-94d8-afeb015f3585}</vt:lpwstr>
  </property>
  <property fmtid="{D5CDD505-2E9C-101B-9397-08002B2CF9AE}" pid="13" name="RecordPoint_ActiveItemUniqueId">
    <vt:lpwstr>{97015141-a591-4bb3-8591-d013552d6574}</vt:lpwstr>
  </property>
  <property fmtid="{D5CDD505-2E9C-101B-9397-08002B2CF9AE}" pid="14" name="RecordPoint_ActiveItemWebId">
    <vt:lpwstr>{f37db7f6-7e8f-4511-8e7d-90c047231172}</vt:lpwstr>
  </property>
  <property fmtid="{D5CDD505-2E9C-101B-9397-08002B2CF9AE}" pid="15" name="RecordPoint_ActiveItemSiteId">
    <vt:lpwstr>{dd95a578-5c6a-4f11-92f7-f95884d628d6}</vt:lpwstr>
  </property>
  <property fmtid="{D5CDD505-2E9C-101B-9397-08002B2CF9AE}" pid="16" name="RecordPoint_SubmissionCompleted">
    <vt:lpwstr>2018-06-19T16:11:04.1171885+10:00</vt:lpwstr>
  </property>
  <property fmtid="{D5CDD505-2E9C-101B-9397-08002B2CF9AE}" pid="17" name="TitusGUID">
    <vt:lpwstr>673aec42-4e72-4058-b1e5-385ced437cca</vt:lpwstr>
  </property>
  <property fmtid="{D5CDD505-2E9C-101B-9397-08002B2CF9AE}" pid="18" name="RecordPoint_RecordNumberSubmitted">
    <vt:lpwstr>R0000061765</vt:lpwstr>
  </property>
</Properties>
</file>